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7C31A" w14:textId="77777777" w:rsidR="00CE527D" w:rsidRPr="001E041C" w:rsidRDefault="00CE527D" w:rsidP="00203C1C">
      <w:pPr>
        <w:spacing w:before="120" w:after="120"/>
        <w:jc w:val="both"/>
        <w:rPr>
          <w:rFonts w:ascii="Arial" w:hAnsi="Arial" w:cs="Arial"/>
          <w:b/>
          <w:color w:val="800080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6019"/>
        <w:gridCol w:w="1823"/>
      </w:tblGrid>
      <w:tr w:rsidR="00B71A11" w:rsidRPr="001E041C" w14:paraId="7EABBE02" w14:textId="77777777" w:rsidTr="006F2892">
        <w:trPr>
          <w:cantSplit/>
          <w:trHeight w:val="621"/>
        </w:trPr>
        <w:tc>
          <w:tcPr>
            <w:tcW w:w="1800" w:type="dxa"/>
            <w:vAlign w:val="center"/>
          </w:tcPr>
          <w:p w14:paraId="1C4494F0" w14:textId="77777777" w:rsidR="00463605" w:rsidRPr="00F921F7" w:rsidRDefault="00463605" w:rsidP="00DF6251">
            <w:pPr>
              <w:tabs>
                <w:tab w:val="right" w:pos="10490"/>
              </w:tabs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6120" w:type="dxa"/>
          </w:tcPr>
          <w:p w14:paraId="0E128286" w14:textId="77777777" w:rsidR="00463605" w:rsidRPr="00F921F7" w:rsidRDefault="00463605" w:rsidP="00DF6251">
            <w:pPr>
              <w:pStyle w:val="Heading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725FF28" w14:textId="77777777" w:rsidR="00463605" w:rsidRPr="00F921F7" w:rsidRDefault="004026E3" w:rsidP="004026E3">
            <w:pPr>
              <w:pStyle w:val="Heading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21F7">
              <w:rPr>
                <w:rFonts w:ascii="Arial" w:hAnsi="Arial" w:cs="Arial"/>
                <w:sz w:val="20"/>
                <w:szCs w:val="20"/>
                <w:lang w:val="en-GB"/>
              </w:rPr>
              <w:t>UTENOS TRIKOTAŽAS, AB</w:t>
            </w:r>
            <w:r w:rsidR="00B71A11" w:rsidRPr="00F921F7">
              <w:rPr>
                <w:rFonts w:ascii="Arial" w:hAnsi="Arial"/>
                <w:sz w:val="20"/>
                <w:lang w:val="en-GB"/>
              </w:rPr>
              <w:t xml:space="preserve"> EXECUTIVE </w:t>
            </w:r>
            <w:r w:rsidRPr="00F921F7">
              <w:rPr>
                <w:rFonts w:ascii="Arial" w:hAnsi="Arial"/>
                <w:sz w:val="20"/>
                <w:lang w:val="en-GB"/>
              </w:rPr>
              <w:t>REMUNERATION</w:t>
            </w:r>
            <w:r w:rsidR="00B71A11" w:rsidRPr="00F921F7">
              <w:rPr>
                <w:rFonts w:ascii="Arial" w:hAnsi="Arial"/>
                <w:sz w:val="20"/>
                <w:lang w:val="en-GB"/>
              </w:rPr>
              <w:t xml:space="preserve"> POLICY</w:t>
            </w:r>
          </w:p>
        </w:tc>
        <w:tc>
          <w:tcPr>
            <w:tcW w:w="1826" w:type="dxa"/>
          </w:tcPr>
          <w:p w14:paraId="07BA8F61" w14:textId="77777777" w:rsidR="00463605" w:rsidRPr="00F921F7" w:rsidRDefault="00463605" w:rsidP="00DF6251">
            <w:pPr>
              <w:tabs>
                <w:tab w:val="right" w:pos="10490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921F7">
              <w:rPr>
                <w:rFonts w:ascii="Arial" w:hAnsi="Arial"/>
                <w:sz w:val="20"/>
                <w:lang w:val="en-GB"/>
              </w:rPr>
              <w:t>Number/version:</w:t>
            </w:r>
          </w:p>
          <w:p w14:paraId="1B1B3ACE" w14:textId="77777777" w:rsidR="00463605" w:rsidRPr="00F921F7" w:rsidRDefault="00463605" w:rsidP="00DF6251">
            <w:pPr>
              <w:tabs>
                <w:tab w:val="right" w:pos="10490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63605" w:rsidRPr="001E041C" w14:paraId="1B589D78" w14:textId="77777777" w:rsidTr="00DF6251">
        <w:trPr>
          <w:cantSplit/>
          <w:trHeight w:val="464"/>
        </w:trPr>
        <w:tc>
          <w:tcPr>
            <w:tcW w:w="7920" w:type="dxa"/>
            <w:gridSpan w:val="2"/>
          </w:tcPr>
          <w:p w14:paraId="1DA55661" w14:textId="0748CBA2" w:rsidR="00463605" w:rsidRPr="00F921F7" w:rsidRDefault="00463605" w:rsidP="004026E3">
            <w:pPr>
              <w:tabs>
                <w:tab w:val="right" w:pos="10490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921F7">
              <w:rPr>
                <w:rFonts w:ascii="Arial" w:hAnsi="Arial"/>
                <w:sz w:val="20"/>
                <w:lang w:val="en-GB"/>
              </w:rPr>
              <w:t xml:space="preserve">Document status: </w:t>
            </w:r>
            <w:r w:rsidR="00E975AF" w:rsidRPr="00F921F7">
              <w:rPr>
                <w:rFonts w:ascii="Arial" w:hAnsi="Arial"/>
                <w:b/>
                <w:bCs/>
                <w:sz w:val="20"/>
                <w:lang w:val="en-GB"/>
              </w:rPr>
              <w:t>approved</w:t>
            </w:r>
          </w:p>
        </w:tc>
        <w:tc>
          <w:tcPr>
            <w:tcW w:w="1826" w:type="dxa"/>
          </w:tcPr>
          <w:p w14:paraId="6AEF8042" w14:textId="77777777" w:rsidR="00463605" w:rsidRPr="00F921F7" w:rsidRDefault="001E041C" w:rsidP="00DF6251">
            <w:pPr>
              <w:tabs>
                <w:tab w:val="right" w:pos="10490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921F7">
              <w:rPr>
                <w:rFonts w:ascii="Arial" w:hAnsi="Arial"/>
                <w:sz w:val="20"/>
                <w:lang w:val="en-GB"/>
              </w:rPr>
              <w:t>Valid from</w:t>
            </w:r>
            <w:r w:rsidR="00463605" w:rsidRPr="00F921F7">
              <w:rPr>
                <w:rFonts w:ascii="Arial" w:hAnsi="Arial"/>
                <w:sz w:val="20"/>
                <w:lang w:val="en-GB"/>
              </w:rPr>
              <w:t xml:space="preserve">: </w:t>
            </w:r>
          </w:p>
          <w:p w14:paraId="01184696" w14:textId="139D396F" w:rsidR="00463605" w:rsidRPr="00F921F7" w:rsidRDefault="001E041C" w:rsidP="00F4202B">
            <w:pPr>
              <w:tabs>
                <w:tab w:val="right" w:pos="1049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921F7">
              <w:rPr>
                <w:rFonts w:ascii="Arial" w:hAnsi="Arial"/>
                <w:sz w:val="20"/>
                <w:lang w:val="en-GB"/>
              </w:rPr>
              <w:t>from</w:t>
            </w:r>
            <w:r w:rsidR="00463605" w:rsidRPr="00F921F7">
              <w:rPr>
                <w:rFonts w:ascii="Arial" w:hAnsi="Arial"/>
                <w:sz w:val="20"/>
                <w:lang w:val="en-GB"/>
              </w:rPr>
              <w:t xml:space="preserve"> 2021-01-</w:t>
            </w:r>
            <w:r w:rsidR="00E975AF" w:rsidRPr="00F921F7">
              <w:rPr>
                <w:rFonts w:ascii="Arial" w:hAnsi="Arial"/>
                <w:sz w:val="20"/>
                <w:lang w:val="en-GB"/>
              </w:rPr>
              <w:t>0</w:t>
            </w:r>
            <w:r w:rsidR="00E975AF" w:rsidRPr="00F921F7">
              <w:rPr>
                <w:rFonts w:ascii="Arial" w:hAnsi="Arial"/>
                <w:sz w:val="20"/>
              </w:rPr>
              <w:t>8</w:t>
            </w:r>
          </w:p>
        </w:tc>
      </w:tr>
      <w:tr w:rsidR="00463605" w:rsidRPr="001E041C" w14:paraId="7935BDC3" w14:textId="77777777" w:rsidTr="00DF6251">
        <w:trPr>
          <w:cantSplit/>
        </w:trPr>
        <w:tc>
          <w:tcPr>
            <w:tcW w:w="7920" w:type="dxa"/>
            <w:gridSpan w:val="2"/>
          </w:tcPr>
          <w:p w14:paraId="319DC82E" w14:textId="77777777" w:rsidR="00463605" w:rsidRPr="00F921F7" w:rsidRDefault="00463605" w:rsidP="004026E3">
            <w:pPr>
              <w:tabs>
                <w:tab w:val="right" w:pos="10490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921F7">
              <w:rPr>
                <w:rFonts w:ascii="Arial" w:hAnsi="Arial"/>
                <w:sz w:val="20"/>
                <w:lang w:val="en-GB"/>
              </w:rPr>
              <w:t xml:space="preserve">Approved by: </w:t>
            </w:r>
            <w:r w:rsidR="004026E3" w:rsidRPr="00F921F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Utenos </w:t>
            </w:r>
            <w:proofErr w:type="spellStart"/>
            <w:r w:rsidR="004026E3" w:rsidRPr="00F921F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trikotažas</w:t>
            </w:r>
            <w:proofErr w:type="spellEnd"/>
            <w:r w:rsidR="004026E3" w:rsidRPr="00F921F7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, AB, </w:t>
            </w:r>
            <w:r w:rsidR="004026E3" w:rsidRPr="00F921F7">
              <w:rPr>
                <w:rFonts w:ascii="Arial" w:hAnsi="Arial"/>
                <w:color w:val="000000"/>
                <w:sz w:val="20"/>
                <w:lang w:val="en-GB"/>
              </w:rPr>
              <w:t>General M</w:t>
            </w:r>
            <w:r w:rsidRPr="00F921F7">
              <w:rPr>
                <w:rFonts w:ascii="Arial" w:hAnsi="Arial"/>
                <w:color w:val="000000"/>
                <w:sz w:val="20"/>
                <w:lang w:val="en-GB"/>
              </w:rPr>
              <w:t xml:space="preserve">eeting of Shareholders </w:t>
            </w:r>
          </w:p>
        </w:tc>
        <w:tc>
          <w:tcPr>
            <w:tcW w:w="1826" w:type="dxa"/>
          </w:tcPr>
          <w:p w14:paraId="0D156BE9" w14:textId="77777777" w:rsidR="00463605" w:rsidRPr="00F921F7" w:rsidRDefault="001E041C" w:rsidP="00DF6251">
            <w:pPr>
              <w:tabs>
                <w:tab w:val="right" w:pos="10490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921F7">
              <w:rPr>
                <w:rFonts w:ascii="Arial" w:hAnsi="Arial"/>
                <w:sz w:val="20"/>
                <w:lang w:val="en-GB"/>
              </w:rPr>
              <w:t>Approval date</w:t>
            </w:r>
            <w:r w:rsidR="00463605" w:rsidRPr="00F921F7">
              <w:rPr>
                <w:rFonts w:ascii="Arial" w:hAnsi="Arial"/>
                <w:sz w:val="20"/>
                <w:lang w:val="en-GB"/>
              </w:rPr>
              <w:t>:</w:t>
            </w:r>
          </w:p>
          <w:p w14:paraId="09D987A7" w14:textId="2EBDCB85" w:rsidR="00463605" w:rsidRPr="00F921F7" w:rsidRDefault="00420F11" w:rsidP="00F4202B">
            <w:pPr>
              <w:tabs>
                <w:tab w:val="right" w:pos="10490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921F7">
              <w:rPr>
                <w:rFonts w:ascii="Arial" w:hAnsi="Arial"/>
                <w:sz w:val="20"/>
                <w:lang w:val="en-GB"/>
              </w:rPr>
              <w:t>202</w:t>
            </w:r>
            <w:r w:rsidR="00012A8F" w:rsidRPr="00F921F7">
              <w:rPr>
                <w:rFonts w:ascii="Arial" w:hAnsi="Arial"/>
                <w:sz w:val="20"/>
                <w:lang w:val="en-GB"/>
              </w:rPr>
              <w:t>1</w:t>
            </w:r>
            <w:r w:rsidRPr="00F921F7">
              <w:rPr>
                <w:rFonts w:ascii="Arial" w:hAnsi="Arial"/>
                <w:sz w:val="20"/>
                <w:lang w:val="en-GB"/>
              </w:rPr>
              <w:t>-</w:t>
            </w:r>
            <w:r w:rsidR="00012A8F" w:rsidRPr="00F921F7">
              <w:rPr>
                <w:rFonts w:ascii="Arial" w:hAnsi="Arial"/>
                <w:sz w:val="20"/>
                <w:lang w:val="en-GB"/>
              </w:rPr>
              <w:t>01</w:t>
            </w:r>
            <w:r w:rsidRPr="00F921F7">
              <w:rPr>
                <w:rFonts w:ascii="Arial" w:hAnsi="Arial"/>
                <w:sz w:val="20"/>
                <w:lang w:val="en-GB"/>
              </w:rPr>
              <w:t>-</w:t>
            </w:r>
            <w:r w:rsidR="00E975AF" w:rsidRPr="00F921F7">
              <w:rPr>
                <w:rFonts w:ascii="Arial" w:hAnsi="Arial"/>
                <w:sz w:val="20"/>
                <w:lang w:val="en-GB"/>
              </w:rPr>
              <w:t>08</w:t>
            </w:r>
            <w:r w:rsidRPr="00F921F7">
              <w:rPr>
                <w:rFonts w:ascii="Arial" w:hAnsi="Arial"/>
                <w:sz w:val="20"/>
                <w:lang w:val="en-GB"/>
              </w:rPr>
              <w:t xml:space="preserve"> </w:t>
            </w:r>
          </w:p>
        </w:tc>
      </w:tr>
      <w:tr w:rsidR="00463605" w:rsidRPr="001E041C" w14:paraId="6AE29149" w14:textId="77777777" w:rsidTr="00DF6251">
        <w:trPr>
          <w:cantSplit/>
        </w:trPr>
        <w:tc>
          <w:tcPr>
            <w:tcW w:w="7920" w:type="dxa"/>
            <w:gridSpan w:val="2"/>
          </w:tcPr>
          <w:p w14:paraId="1DBDCADB" w14:textId="77777777" w:rsidR="00463605" w:rsidRPr="001E041C" w:rsidRDefault="004026E3" w:rsidP="004026E3">
            <w:pPr>
              <w:tabs>
                <w:tab w:val="right" w:pos="10490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E041C">
              <w:rPr>
                <w:rFonts w:ascii="Arial" w:hAnsi="Arial"/>
                <w:sz w:val="20"/>
                <w:lang w:val="en-GB"/>
              </w:rPr>
              <w:t>Prepared by</w:t>
            </w:r>
            <w:r w:rsidR="00463605" w:rsidRPr="001E041C">
              <w:rPr>
                <w:rFonts w:ascii="Arial" w:hAnsi="Arial"/>
                <w:sz w:val="20"/>
                <w:lang w:val="en-GB"/>
              </w:rPr>
              <w:t xml:space="preserve">: </w:t>
            </w:r>
            <w:r w:rsidRPr="001E041C">
              <w:rPr>
                <w:rFonts w:ascii="Arial" w:hAnsi="Arial"/>
                <w:b/>
                <w:sz w:val="20"/>
                <w:lang w:val="en-GB"/>
              </w:rPr>
              <w:t>Personnel Unit</w:t>
            </w:r>
          </w:p>
        </w:tc>
        <w:tc>
          <w:tcPr>
            <w:tcW w:w="1826" w:type="dxa"/>
          </w:tcPr>
          <w:p w14:paraId="151BE9BC" w14:textId="77777777" w:rsidR="00463605" w:rsidRPr="001E041C" w:rsidRDefault="00463605" w:rsidP="001E041C">
            <w:pPr>
              <w:tabs>
                <w:tab w:val="right" w:pos="10490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E041C">
              <w:rPr>
                <w:rFonts w:ascii="Arial" w:hAnsi="Arial"/>
                <w:sz w:val="20"/>
                <w:lang w:val="en-GB"/>
              </w:rPr>
              <w:t xml:space="preserve">Number of </w:t>
            </w:r>
            <w:r w:rsidR="001E041C" w:rsidRPr="001E041C">
              <w:rPr>
                <w:rFonts w:ascii="Arial" w:hAnsi="Arial"/>
                <w:sz w:val="20"/>
                <w:lang w:val="en-GB"/>
              </w:rPr>
              <w:t>appendices</w:t>
            </w:r>
            <w:r w:rsidRPr="001E041C">
              <w:rPr>
                <w:rFonts w:ascii="Arial" w:hAnsi="Arial"/>
                <w:sz w:val="20"/>
                <w:lang w:val="en-GB"/>
              </w:rPr>
              <w:t>: 0</w:t>
            </w:r>
          </w:p>
        </w:tc>
      </w:tr>
      <w:tr w:rsidR="00463605" w:rsidRPr="001E041C" w14:paraId="4251B533" w14:textId="77777777" w:rsidTr="00DF6251">
        <w:trPr>
          <w:cantSplit/>
        </w:trPr>
        <w:tc>
          <w:tcPr>
            <w:tcW w:w="7920" w:type="dxa"/>
            <w:gridSpan w:val="2"/>
          </w:tcPr>
          <w:p w14:paraId="10EC7C02" w14:textId="77777777" w:rsidR="00463605" w:rsidRPr="001E041C" w:rsidRDefault="00463605" w:rsidP="00371F14">
            <w:pPr>
              <w:tabs>
                <w:tab w:val="right" w:pos="10490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E041C">
              <w:rPr>
                <w:rFonts w:ascii="Arial" w:hAnsi="Arial"/>
                <w:sz w:val="20"/>
                <w:lang w:val="en-GB"/>
              </w:rPr>
              <w:t xml:space="preserve">Application: </w:t>
            </w:r>
            <w:r w:rsidR="004026E3" w:rsidRPr="001E04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Utenos </w:t>
            </w:r>
            <w:proofErr w:type="spellStart"/>
            <w:r w:rsidR="004026E3" w:rsidRPr="001E04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trikotažas</w:t>
            </w:r>
            <w:proofErr w:type="spellEnd"/>
            <w:r w:rsidR="004026E3" w:rsidRPr="001E04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, AB</w:t>
            </w:r>
          </w:p>
        </w:tc>
        <w:tc>
          <w:tcPr>
            <w:tcW w:w="1826" w:type="dxa"/>
          </w:tcPr>
          <w:p w14:paraId="5B5E0E26" w14:textId="77777777" w:rsidR="00463605" w:rsidRPr="001E041C" w:rsidRDefault="007D6853" w:rsidP="00DF6251">
            <w:pPr>
              <w:tabs>
                <w:tab w:val="right" w:pos="10490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E041C">
              <w:rPr>
                <w:rFonts w:ascii="Arial" w:hAnsi="Arial"/>
                <w:sz w:val="20"/>
                <w:lang w:val="en-GB"/>
              </w:rPr>
              <w:t>Number of pages: 4</w:t>
            </w:r>
          </w:p>
        </w:tc>
      </w:tr>
    </w:tbl>
    <w:p w14:paraId="53A146DC" w14:textId="77777777" w:rsidR="006B5E22" w:rsidRPr="001E041C" w:rsidRDefault="006B5E22" w:rsidP="00203C1C">
      <w:pPr>
        <w:pStyle w:val="Subtitle"/>
        <w:spacing w:before="120" w:after="120"/>
        <w:jc w:val="both"/>
        <w:rPr>
          <w:rFonts w:ascii="Arial" w:hAnsi="Arial" w:cs="Arial"/>
          <w:b w:val="0"/>
          <w:i w:val="0"/>
          <w:sz w:val="20"/>
          <w:u w:val="none"/>
          <w:lang w:val="en-GB"/>
        </w:rPr>
      </w:pPr>
    </w:p>
    <w:p w14:paraId="6D283DE3" w14:textId="77777777" w:rsidR="00AD71AE" w:rsidRPr="001E041C" w:rsidRDefault="00462207" w:rsidP="00203C1C">
      <w:pPr>
        <w:pStyle w:val="Subtitle"/>
        <w:numPr>
          <w:ilvl w:val="0"/>
          <w:numId w:val="5"/>
        </w:numPr>
        <w:spacing w:before="120" w:after="120"/>
        <w:jc w:val="both"/>
        <w:rPr>
          <w:rFonts w:ascii="Arial" w:hAnsi="Arial" w:cs="Arial"/>
          <w:i w:val="0"/>
          <w:sz w:val="20"/>
          <w:u w:val="none"/>
          <w:lang w:val="en-GB"/>
        </w:rPr>
      </w:pPr>
      <w:r w:rsidRPr="001E041C">
        <w:rPr>
          <w:rFonts w:ascii="Arial" w:hAnsi="Arial"/>
          <w:i w:val="0"/>
          <w:sz w:val="20"/>
          <w:u w:val="none"/>
          <w:lang w:val="en-GB"/>
        </w:rPr>
        <w:t>OBJECTIVES AND APPLICATION OF THE PROCEDURE</w:t>
      </w:r>
    </w:p>
    <w:p w14:paraId="3BDB10BF" w14:textId="77777777" w:rsidR="00021FD6" w:rsidRPr="001E041C" w:rsidRDefault="00034069" w:rsidP="00D57C8D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CIDFont+F1" w:hAnsi="CIDFont+F1" w:cs="CIDFont+F1"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 xml:space="preserve">The purpose of the Executive </w:t>
      </w:r>
      <w:r w:rsidR="001E041C" w:rsidRPr="001E041C">
        <w:rPr>
          <w:rFonts w:ascii="Arial" w:hAnsi="Arial"/>
          <w:sz w:val="20"/>
          <w:lang w:val="en-GB"/>
        </w:rPr>
        <w:t>R</w:t>
      </w:r>
      <w:r w:rsidRPr="001E041C">
        <w:rPr>
          <w:rFonts w:ascii="Arial" w:hAnsi="Arial"/>
          <w:sz w:val="20"/>
          <w:lang w:val="en-GB"/>
        </w:rPr>
        <w:t xml:space="preserve">emuneration </w:t>
      </w:r>
      <w:r w:rsidR="001E041C" w:rsidRPr="001E041C">
        <w:rPr>
          <w:rFonts w:ascii="Arial" w:hAnsi="Arial"/>
          <w:sz w:val="20"/>
          <w:lang w:val="en-GB"/>
        </w:rPr>
        <w:t>P</w:t>
      </w:r>
      <w:r w:rsidRPr="001E041C">
        <w:rPr>
          <w:rFonts w:ascii="Arial" w:hAnsi="Arial"/>
          <w:sz w:val="20"/>
          <w:lang w:val="en-GB"/>
        </w:rPr>
        <w:t>olicy (</w:t>
      </w:r>
      <w:r w:rsidR="001E041C" w:rsidRPr="001E041C">
        <w:rPr>
          <w:rFonts w:ascii="Arial" w:hAnsi="Arial"/>
          <w:sz w:val="20"/>
          <w:lang w:val="en-GB"/>
        </w:rPr>
        <w:t>hereinafter – R</w:t>
      </w:r>
      <w:r w:rsidRPr="001E041C">
        <w:rPr>
          <w:rFonts w:ascii="Arial" w:hAnsi="Arial"/>
          <w:sz w:val="20"/>
          <w:lang w:val="en-GB"/>
        </w:rPr>
        <w:t xml:space="preserve">emuneration </w:t>
      </w:r>
      <w:r w:rsidR="001E041C" w:rsidRPr="001E041C">
        <w:rPr>
          <w:rFonts w:ascii="Arial" w:hAnsi="Arial"/>
          <w:sz w:val="20"/>
          <w:lang w:val="en-GB"/>
        </w:rPr>
        <w:t>P</w:t>
      </w:r>
      <w:r w:rsidRPr="001E041C">
        <w:rPr>
          <w:rFonts w:ascii="Arial" w:hAnsi="Arial"/>
          <w:sz w:val="20"/>
          <w:lang w:val="en-GB"/>
        </w:rPr>
        <w:t xml:space="preserve">olicy) is to lay down the principles </w:t>
      </w:r>
      <w:r w:rsidR="001E041C" w:rsidRPr="001E041C">
        <w:rPr>
          <w:rFonts w:ascii="Arial" w:hAnsi="Arial"/>
          <w:sz w:val="20"/>
          <w:lang w:val="en-GB"/>
        </w:rPr>
        <w:t>for</w:t>
      </w:r>
      <w:r w:rsidRPr="001E041C">
        <w:rPr>
          <w:rFonts w:ascii="Arial" w:hAnsi="Arial"/>
          <w:sz w:val="20"/>
          <w:lang w:val="en-GB"/>
        </w:rPr>
        <w:t xml:space="preserve"> remuneration </w:t>
      </w:r>
      <w:r w:rsidR="001E041C" w:rsidRPr="001E041C">
        <w:rPr>
          <w:rFonts w:ascii="Arial" w:hAnsi="Arial"/>
          <w:sz w:val="20"/>
          <w:lang w:val="en-GB"/>
        </w:rPr>
        <w:t>to</w:t>
      </w:r>
      <w:r w:rsidRPr="001E041C">
        <w:rPr>
          <w:rFonts w:ascii="Arial" w:hAnsi="Arial"/>
          <w:sz w:val="20"/>
          <w:lang w:val="en-GB"/>
        </w:rPr>
        <w:t xml:space="preserve"> the </w:t>
      </w:r>
      <w:r w:rsidR="00311A97">
        <w:rPr>
          <w:rFonts w:ascii="Arial" w:hAnsi="Arial"/>
          <w:sz w:val="20"/>
          <w:lang w:val="en-GB"/>
        </w:rPr>
        <w:t>general manager</w:t>
      </w:r>
      <w:r w:rsidRPr="001E041C">
        <w:rPr>
          <w:rFonts w:ascii="Arial" w:hAnsi="Arial"/>
          <w:sz w:val="20"/>
          <w:lang w:val="en-GB"/>
        </w:rPr>
        <w:t xml:space="preserve"> and members of the Board of </w:t>
      </w:r>
      <w:r w:rsidR="001E041C" w:rsidRPr="001E041C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Utenos </w:t>
      </w:r>
      <w:proofErr w:type="spellStart"/>
      <w:r w:rsidR="001E041C" w:rsidRPr="001E041C">
        <w:rPr>
          <w:rFonts w:ascii="Arial" w:hAnsi="Arial" w:cs="Arial"/>
          <w:bCs/>
          <w:color w:val="000000"/>
          <w:sz w:val="20"/>
          <w:szCs w:val="20"/>
          <w:lang w:val="en-GB"/>
        </w:rPr>
        <w:t>trikotažas</w:t>
      </w:r>
      <w:proofErr w:type="spellEnd"/>
      <w:r w:rsidR="001E041C" w:rsidRPr="001E041C">
        <w:rPr>
          <w:rFonts w:ascii="Arial" w:hAnsi="Arial" w:cs="Arial"/>
          <w:bCs/>
          <w:color w:val="000000"/>
          <w:sz w:val="20"/>
          <w:szCs w:val="20"/>
          <w:lang w:val="en-GB"/>
        </w:rPr>
        <w:t>, AB</w:t>
      </w:r>
      <w:r w:rsidR="001E041C" w:rsidRPr="001E041C">
        <w:rPr>
          <w:rFonts w:ascii="Arial" w:hAnsi="Arial"/>
          <w:sz w:val="20"/>
          <w:lang w:val="en-GB"/>
        </w:rPr>
        <w:t xml:space="preserve"> and</w:t>
      </w:r>
      <w:r w:rsidRPr="001E041C">
        <w:rPr>
          <w:rFonts w:ascii="Arial" w:hAnsi="Arial"/>
          <w:sz w:val="20"/>
          <w:lang w:val="en-GB"/>
        </w:rPr>
        <w:t xml:space="preserve"> to define the main provisions to be followed by the </w:t>
      </w:r>
      <w:r w:rsidR="00934053">
        <w:rPr>
          <w:rFonts w:ascii="Arial" w:hAnsi="Arial"/>
          <w:sz w:val="20"/>
          <w:lang w:val="en-GB"/>
        </w:rPr>
        <w:t>C</w:t>
      </w:r>
      <w:r w:rsidRPr="001E041C">
        <w:rPr>
          <w:rFonts w:ascii="Arial" w:hAnsi="Arial"/>
          <w:sz w:val="20"/>
          <w:lang w:val="en-GB"/>
        </w:rPr>
        <w:t>ompany</w:t>
      </w:r>
      <w:r w:rsidR="001E041C" w:rsidRPr="001E041C">
        <w:rPr>
          <w:rFonts w:ascii="Arial" w:hAnsi="Arial"/>
          <w:sz w:val="20"/>
          <w:lang w:val="en-GB"/>
        </w:rPr>
        <w:t xml:space="preserve"> bodies</w:t>
      </w:r>
      <w:r w:rsidRPr="001E041C">
        <w:rPr>
          <w:rFonts w:ascii="Arial" w:hAnsi="Arial"/>
          <w:sz w:val="20"/>
          <w:lang w:val="en-GB"/>
        </w:rPr>
        <w:t xml:space="preserve"> in determining the </w:t>
      </w:r>
      <w:r w:rsidR="001E041C" w:rsidRPr="001E041C">
        <w:rPr>
          <w:rFonts w:ascii="Arial" w:hAnsi="Arial"/>
          <w:sz w:val="20"/>
          <w:lang w:val="en-GB"/>
        </w:rPr>
        <w:t xml:space="preserve">monthly </w:t>
      </w:r>
      <w:r w:rsidRPr="001E041C">
        <w:rPr>
          <w:rFonts w:ascii="Arial" w:hAnsi="Arial"/>
          <w:sz w:val="20"/>
          <w:lang w:val="en-GB"/>
        </w:rPr>
        <w:t>remuneration</w:t>
      </w:r>
      <w:r w:rsidR="001E041C" w:rsidRPr="001E041C">
        <w:rPr>
          <w:rFonts w:ascii="Arial" w:hAnsi="Arial"/>
          <w:sz w:val="20"/>
          <w:lang w:val="en-GB"/>
        </w:rPr>
        <w:t xml:space="preserve"> or any other pay to the </w:t>
      </w:r>
      <w:r w:rsidR="00311A97">
        <w:rPr>
          <w:rFonts w:ascii="Arial" w:hAnsi="Arial"/>
          <w:sz w:val="20"/>
          <w:lang w:val="en-GB"/>
        </w:rPr>
        <w:t>general manager</w:t>
      </w:r>
      <w:r w:rsidR="001E041C" w:rsidRPr="001E041C">
        <w:rPr>
          <w:rFonts w:ascii="Arial" w:hAnsi="Arial"/>
          <w:sz w:val="20"/>
          <w:lang w:val="en-GB"/>
        </w:rPr>
        <w:t xml:space="preserve"> and members of the Board of </w:t>
      </w:r>
      <w:r w:rsidR="001E041C" w:rsidRPr="001E041C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Utenos </w:t>
      </w:r>
      <w:proofErr w:type="spellStart"/>
      <w:r w:rsidR="001E041C" w:rsidRPr="001E041C">
        <w:rPr>
          <w:rFonts w:ascii="Arial" w:hAnsi="Arial" w:cs="Arial"/>
          <w:bCs/>
          <w:color w:val="000000"/>
          <w:sz w:val="20"/>
          <w:szCs w:val="20"/>
          <w:lang w:val="en-GB"/>
        </w:rPr>
        <w:t>trikotažas</w:t>
      </w:r>
      <w:proofErr w:type="spellEnd"/>
      <w:r w:rsidR="001E041C" w:rsidRPr="001E041C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, AB </w:t>
      </w:r>
      <w:r w:rsidR="001E041C" w:rsidRPr="001E041C">
        <w:rPr>
          <w:rFonts w:ascii="Arial" w:hAnsi="Arial"/>
          <w:sz w:val="20"/>
          <w:lang w:val="en-GB"/>
        </w:rPr>
        <w:t xml:space="preserve">for work/activities </w:t>
      </w:r>
      <w:r w:rsidR="001E041C" w:rsidRPr="001E041C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and setting a </w:t>
      </w:r>
      <w:r w:rsidR="001E041C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variable </w:t>
      </w:r>
      <w:r w:rsidR="00934053">
        <w:rPr>
          <w:rFonts w:ascii="Arial" w:hAnsi="Arial" w:cs="Arial"/>
          <w:bCs/>
          <w:color w:val="000000"/>
          <w:sz w:val="20"/>
          <w:szCs w:val="20"/>
          <w:lang w:val="en-GB"/>
        </w:rPr>
        <w:t>part</w:t>
      </w:r>
      <w:r w:rsidR="001E041C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of the remuneration </w:t>
      </w:r>
      <w:r w:rsidR="001E041C">
        <w:rPr>
          <w:rFonts w:ascii="Arial" w:hAnsi="Arial"/>
          <w:sz w:val="20"/>
          <w:lang w:val="en-GB"/>
        </w:rPr>
        <w:t>(i</w:t>
      </w:r>
      <w:r w:rsidRPr="001E041C">
        <w:rPr>
          <w:rFonts w:ascii="Arial" w:hAnsi="Arial"/>
          <w:sz w:val="20"/>
          <w:lang w:val="en-GB"/>
        </w:rPr>
        <w:t xml:space="preserve">f applicable under </w:t>
      </w:r>
      <w:r w:rsidR="001E041C">
        <w:rPr>
          <w:rFonts w:ascii="Arial" w:hAnsi="Arial"/>
          <w:sz w:val="20"/>
          <w:lang w:val="en-GB"/>
        </w:rPr>
        <w:t>the Remuneration P</w:t>
      </w:r>
      <w:r w:rsidRPr="001E041C">
        <w:rPr>
          <w:rFonts w:ascii="Arial" w:hAnsi="Arial"/>
          <w:sz w:val="20"/>
          <w:lang w:val="en-GB"/>
        </w:rPr>
        <w:t xml:space="preserve">olicy). </w:t>
      </w:r>
    </w:p>
    <w:p w14:paraId="5E1E3CC9" w14:textId="77777777" w:rsidR="00810943" w:rsidRPr="001E041C" w:rsidRDefault="001E041C" w:rsidP="00203C1C">
      <w:pPr>
        <w:pStyle w:val="BodyText"/>
        <w:numPr>
          <w:ilvl w:val="1"/>
          <w:numId w:val="5"/>
        </w:numPr>
        <w:spacing w:before="120" w:after="120"/>
        <w:jc w:val="both"/>
        <w:rPr>
          <w:rFonts w:ascii="Arial" w:hAnsi="Arial" w:cs="Arial"/>
          <w:bCs/>
          <w:szCs w:val="20"/>
          <w:lang w:val="en-GB"/>
        </w:rPr>
      </w:pPr>
      <w:r>
        <w:rPr>
          <w:rFonts w:ascii="Arial" w:hAnsi="Arial"/>
          <w:lang w:val="en-GB"/>
        </w:rPr>
        <w:t>Principles laid down in the Remuneration P</w:t>
      </w:r>
      <w:r w:rsidR="00CA6DA4" w:rsidRPr="001E041C">
        <w:rPr>
          <w:rFonts w:ascii="Arial" w:hAnsi="Arial"/>
          <w:lang w:val="en-GB"/>
        </w:rPr>
        <w:t>olicy defin</w:t>
      </w:r>
      <w:r>
        <w:rPr>
          <w:rFonts w:ascii="Arial" w:hAnsi="Arial"/>
          <w:lang w:val="en-GB"/>
        </w:rPr>
        <w:t>e</w:t>
      </w:r>
      <w:r w:rsidR="00CA6DA4" w:rsidRPr="001E041C">
        <w:rPr>
          <w:rFonts w:ascii="Arial" w:hAnsi="Arial"/>
          <w:lang w:val="en-GB"/>
        </w:rPr>
        <w:t xml:space="preserve"> the following elements of the </w:t>
      </w:r>
      <w:r>
        <w:rPr>
          <w:rFonts w:ascii="Arial" w:hAnsi="Arial"/>
          <w:lang w:val="en-GB"/>
        </w:rPr>
        <w:t xml:space="preserve">executive </w:t>
      </w:r>
      <w:r w:rsidR="00CA6DA4" w:rsidRPr="001E041C">
        <w:rPr>
          <w:rFonts w:ascii="Arial" w:hAnsi="Arial"/>
          <w:lang w:val="en-GB"/>
        </w:rPr>
        <w:t>remuneration:</w:t>
      </w:r>
    </w:p>
    <w:p w14:paraId="490EDD36" w14:textId="77777777" w:rsidR="00810943" w:rsidRPr="001E041C" w:rsidRDefault="00A30CE0" w:rsidP="00810943">
      <w:pPr>
        <w:pStyle w:val="BodyText"/>
        <w:numPr>
          <w:ilvl w:val="2"/>
          <w:numId w:val="5"/>
        </w:numPr>
        <w:spacing w:before="120" w:after="120"/>
        <w:jc w:val="both"/>
        <w:rPr>
          <w:rFonts w:ascii="Arial" w:hAnsi="Arial" w:cs="Arial"/>
          <w:bCs/>
          <w:szCs w:val="20"/>
          <w:lang w:val="en-GB"/>
        </w:rPr>
      </w:pPr>
      <w:r>
        <w:rPr>
          <w:rFonts w:ascii="Arial" w:hAnsi="Arial"/>
          <w:lang w:val="en-GB"/>
        </w:rPr>
        <w:t xml:space="preserve"> A</w:t>
      </w:r>
      <w:r w:rsidR="006570F3" w:rsidRPr="001E041C">
        <w:rPr>
          <w:rFonts w:ascii="Arial" w:hAnsi="Arial"/>
          <w:lang w:val="en-GB"/>
        </w:rPr>
        <w:t xml:space="preserve"> fixed part of the remuneration</w:t>
      </w:r>
      <w:r>
        <w:rPr>
          <w:rFonts w:ascii="Arial" w:hAnsi="Arial"/>
          <w:lang w:val="en-GB"/>
        </w:rPr>
        <w:t xml:space="preserve"> –</w:t>
      </w:r>
      <w:r w:rsidR="006570F3" w:rsidRPr="001E041C">
        <w:rPr>
          <w:rFonts w:ascii="Arial" w:hAnsi="Arial"/>
          <w:lang w:val="en-GB"/>
        </w:rPr>
        <w:t xml:space="preserve"> monthly </w:t>
      </w:r>
      <w:r>
        <w:rPr>
          <w:rFonts w:ascii="Arial" w:hAnsi="Arial"/>
          <w:lang w:val="en-GB"/>
        </w:rPr>
        <w:t>salary</w:t>
      </w:r>
      <w:r w:rsidR="006570F3" w:rsidRPr="001E041C">
        <w:rPr>
          <w:rFonts w:ascii="Arial" w:hAnsi="Arial"/>
          <w:lang w:val="en-GB"/>
        </w:rPr>
        <w:t xml:space="preserve"> (hereinafter </w:t>
      </w:r>
      <w:r>
        <w:rPr>
          <w:rFonts w:ascii="Arial" w:hAnsi="Arial"/>
          <w:lang w:val="en-GB"/>
        </w:rPr>
        <w:t>– Fixed Part)</w:t>
      </w:r>
      <w:r w:rsidR="006570F3" w:rsidRPr="001E041C">
        <w:rPr>
          <w:rFonts w:ascii="Arial" w:hAnsi="Arial"/>
          <w:lang w:val="en-GB"/>
        </w:rPr>
        <w:t>;</w:t>
      </w:r>
    </w:p>
    <w:p w14:paraId="5A493390" w14:textId="77777777" w:rsidR="00810943" w:rsidRPr="001E041C" w:rsidRDefault="00A30CE0" w:rsidP="00810943">
      <w:pPr>
        <w:pStyle w:val="BodyText"/>
        <w:numPr>
          <w:ilvl w:val="2"/>
          <w:numId w:val="5"/>
        </w:numPr>
        <w:spacing w:before="120" w:after="120"/>
        <w:jc w:val="both"/>
        <w:rPr>
          <w:rFonts w:ascii="Arial" w:hAnsi="Arial" w:cs="Arial"/>
          <w:bCs/>
          <w:szCs w:val="20"/>
          <w:lang w:val="en-GB"/>
        </w:rPr>
      </w:pPr>
      <w:r>
        <w:rPr>
          <w:rFonts w:ascii="Arial" w:hAnsi="Arial"/>
          <w:lang w:val="en-GB"/>
        </w:rPr>
        <w:t xml:space="preserve"> A variable part of the remuneration – remuneration for the achieve</w:t>
      </w:r>
      <w:r w:rsidR="00A650E5" w:rsidRPr="001E041C">
        <w:rPr>
          <w:rFonts w:ascii="Arial" w:hAnsi="Arial"/>
          <w:lang w:val="en-GB"/>
        </w:rPr>
        <w:t>ment of objectives/indicators</w:t>
      </w:r>
      <w:r>
        <w:rPr>
          <w:rFonts w:ascii="Arial" w:hAnsi="Arial"/>
          <w:lang w:val="en-GB"/>
        </w:rPr>
        <w:t xml:space="preserve"> (hereinafter </w:t>
      </w:r>
      <w:r w:rsidR="00934053">
        <w:rPr>
          <w:rFonts w:ascii="Arial" w:hAnsi="Arial"/>
          <w:lang w:val="en-GB"/>
        </w:rPr>
        <w:t>–</w:t>
      </w:r>
      <w:r>
        <w:rPr>
          <w:rFonts w:ascii="Arial" w:hAnsi="Arial"/>
          <w:lang w:val="en-GB"/>
        </w:rPr>
        <w:t xml:space="preserve"> Variable Part)</w:t>
      </w:r>
      <w:r w:rsidR="00A650E5" w:rsidRPr="001E041C">
        <w:rPr>
          <w:rFonts w:ascii="Arial" w:hAnsi="Arial"/>
          <w:lang w:val="en-GB"/>
        </w:rPr>
        <w:t>; or</w:t>
      </w:r>
    </w:p>
    <w:p w14:paraId="454BF813" w14:textId="77777777" w:rsidR="00DC7EAE" w:rsidRPr="001E041C" w:rsidRDefault="00DC7EAE" w:rsidP="00810943">
      <w:pPr>
        <w:pStyle w:val="BodyText"/>
        <w:numPr>
          <w:ilvl w:val="2"/>
          <w:numId w:val="5"/>
        </w:numPr>
        <w:spacing w:before="120" w:after="120"/>
        <w:jc w:val="both"/>
        <w:rPr>
          <w:rFonts w:ascii="Arial" w:hAnsi="Arial" w:cs="Arial"/>
          <w:bCs/>
          <w:szCs w:val="20"/>
          <w:lang w:val="en-GB"/>
        </w:rPr>
      </w:pPr>
      <w:r w:rsidRPr="001E041C">
        <w:rPr>
          <w:rFonts w:ascii="Arial" w:hAnsi="Arial"/>
          <w:lang w:val="en-GB"/>
        </w:rPr>
        <w:t>Other financial remuneration.</w:t>
      </w:r>
    </w:p>
    <w:p w14:paraId="0E78C5CD" w14:textId="77777777" w:rsidR="00CD6811" w:rsidRPr="001E041C" w:rsidRDefault="00CB4AAE" w:rsidP="00ED2319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 xml:space="preserve">The </w:t>
      </w:r>
      <w:r w:rsidR="00A30CE0">
        <w:rPr>
          <w:rFonts w:ascii="Arial" w:hAnsi="Arial"/>
          <w:sz w:val="20"/>
          <w:lang w:val="en-GB"/>
        </w:rPr>
        <w:t>R</w:t>
      </w:r>
      <w:r w:rsidRPr="001E041C">
        <w:rPr>
          <w:rFonts w:ascii="Arial" w:hAnsi="Arial"/>
          <w:sz w:val="20"/>
          <w:lang w:val="en-GB"/>
        </w:rPr>
        <w:t xml:space="preserve">emuneration </w:t>
      </w:r>
      <w:r w:rsidR="00A30CE0">
        <w:rPr>
          <w:rFonts w:ascii="Arial" w:hAnsi="Arial"/>
          <w:sz w:val="20"/>
          <w:lang w:val="en-GB"/>
        </w:rPr>
        <w:t>P</w:t>
      </w:r>
      <w:r w:rsidRPr="001E041C">
        <w:rPr>
          <w:rFonts w:ascii="Arial" w:hAnsi="Arial"/>
          <w:sz w:val="20"/>
          <w:lang w:val="en-GB"/>
        </w:rPr>
        <w:t xml:space="preserve">olicy shall apply to </w:t>
      </w:r>
      <w:r w:rsidR="00A30CE0" w:rsidRPr="001E041C">
        <w:rPr>
          <w:rFonts w:ascii="Arial" w:hAnsi="Arial"/>
          <w:sz w:val="20"/>
          <w:lang w:val="en-GB"/>
        </w:rPr>
        <w:t xml:space="preserve">the </w:t>
      </w:r>
      <w:r w:rsidR="00311A97">
        <w:rPr>
          <w:rFonts w:ascii="Arial" w:hAnsi="Arial"/>
          <w:sz w:val="20"/>
          <w:lang w:val="en-GB"/>
        </w:rPr>
        <w:t>general manager</w:t>
      </w:r>
      <w:r w:rsidR="00A30CE0" w:rsidRPr="001E041C">
        <w:rPr>
          <w:rFonts w:ascii="Arial" w:hAnsi="Arial"/>
          <w:sz w:val="20"/>
          <w:lang w:val="en-GB"/>
        </w:rPr>
        <w:t xml:space="preserve"> and members of the Board of </w:t>
      </w:r>
      <w:r w:rsidR="00A30CE0">
        <w:rPr>
          <w:rFonts w:ascii="Arial" w:hAnsi="Arial" w:cs="Arial"/>
          <w:bCs/>
          <w:color w:val="000000"/>
          <w:sz w:val="20"/>
          <w:szCs w:val="20"/>
          <w:lang w:val="en-GB"/>
        </w:rPr>
        <w:t>the Company</w:t>
      </w:r>
      <w:r w:rsidRPr="001E041C">
        <w:rPr>
          <w:rFonts w:ascii="Arial" w:hAnsi="Arial"/>
          <w:sz w:val="20"/>
          <w:lang w:val="en-GB"/>
        </w:rPr>
        <w:t xml:space="preserve">. </w:t>
      </w:r>
      <w:r w:rsidR="004977B8">
        <w:rPr>
          <w:rFonts w:ascii="Arial" w:hAnsi="Arial"/>
          <w:sz w:val="20"/>
          <w:lang w:val="en-GB"/>
        </w:rPr>
        <w:t>R</w:t>
      </w:r>
      <w:r w:rsidRPr="001E041C">
        <w:rPr>
          <w:rFonts w:ascii="Arial" w:hAnsi="Arial"/>
          <w:sz w:val="20"/>
          <w:lang w:val="en-GB"/>
        </w:rPr>
        <w:t xml:space="preserve">emuneration arrangements for other employees of the </w:t>
      </w:r>
      <w:r w:rsidR="00A30CE0">
        <w:rPr>
          <w:rFonts w:ascii="Arial" w:hAnsi="Arial"/>
          <w:sz w:val="20"/>
          <w:lang w:val="en-GB"/>
        </w:rPr>
        <w:t>C</w:t>
      </w:r>
      <w:r w:rsidRPr="001E041C">
        <w:rPr>
          <w:rFonts w:ascii="Arial" w:hAnsi="Arial"/>
          <w:sz w:val="20"/>
          <w:lang w:val="en-GB"/>
        </w:rPr>
        <w:t xml:space="preserve">ompany are governed by separate </w:t>
      </w:r>
      <w:r w:rsidR="004977B8">
        <w:rPr>
          <w:rFonts w:ascii="Arial" w:hAnsi="Arial"/>
          <w:sz w:val="20"/>
          <w:lang w:val="en-GB"/>
        </w:rPr>
        <w:t xml:space="preserve">internal </w:t>
      </w:r>
      <w:r w:rsidR="00A30CE0">
        <w:rPr>
          <w:rFonts w:ascii="Arial" w:hAnsi="Arial"/>
          <w:sz w:val="20"/>
          <w:lang w:val="en-GB"/>
        </w:rPr>
        <w:t>legal acts</w:t>
      </w:r>
      <w:r w:rsidRPr="001E041C">
        <w:rPr>
          <w:rFonts w:ascii="Arial" w:hAnsi="Arial"/>
          <w:sz w:val="20"/>
          <w:lang w:val="en-GB"/>
        </w:rPr>
        <w:t xml:space="preserve"> (SBA Group </w:t>
      </w:r>
      <w:r w:rsidR="00A30CE0">
        <w:rPr>
          <w:rFonts w:ascii="Arial" w:hAnsi="Arial"/>
          <w:sz w:val="20"/>
          <w:lang w:val="en-GB"/>
        </w:rPr>
        <w:t>R</w:t>
      </w:r>
      <w:r w:rsidRPr="001E041C">
        <w:rPr>
          <w:rFonts w:ascii="Arial" w:hAnsi="Arial"/>
          <w:sz w:val="20"/>
          <w:lang w:val="en-GB"/>
        </w:rPr>
        <w:t xml:space="preserve">emuneration </w:t>
      </w:r>
      <w:r w:rsidR="00A30CE0">
        <w:rPr>
          <w:rFonts w:ascii="Arial" w:hAnsi="Arial"/>
          <w:sz w:val="20"/>
          <w:lang w:val="en-GB"/>
        </w:rPr>
        <w:t>P</w:t>
      </w:r>
      <w:r w:rsidRPr="001E041C">
        <w:rPr>
          <w:rFonts w:ascii="Arial" w:hAnsi="Arial"/>
          <w:sz w:val="20"/>
          <w:lang w:val="en-GB"/>
        </w:rPr>
        <w:t xml:space="preserve">olicy, </w:t>
      </w:r>
      <w:r w:rsidR="00A30CE0">
        <w:rPr>
          <w:rFonts w:ascii="Arial" w:hAnsi="Arial"/>
          <w:sz w:val="20"/>
          <w:lang w:val="en-GB"/>
        </w:rPr>
        <w:t>C</w:t>
      </w:r>
      <w:r w:rsidRPr="001E041C">
        <w:rPr>
          <w:rFonts w:ascii="Arial" w:hAnsi="Arial"/>
          <w:sz w:val="20"/>
          <w:lang w:val="en-GB"/>
        </w:rPr>
        <w:t xml:space="preserve">ollective </w:t>
      </w:r>
      <w:r w:rsidR="00A30CE0">
        <w:rPr>
          <w:rFonts w:ascii="Arial" w:hAnsi="Arial"/>
          <w:sz w:val="20"/>
          <w:lang w:val="en-GB"/>
        </w:rPr>
        <w:t>A</w:t>
      </w:r>
      <w:r w:rsidRPr="001E041C">
        <w:rPr>
          <w:rFonts w:ascii="Arial" w:hAnsi="Arial"/>
          <w:sz w:val="20"/>
          <w:lang w:val="en-GB"/>
        </w:rPr>
        <w:t>greement, etc.).</w:t>
      </w:r>
    </w:p>
    <w:p w14:paraId="4A48F53B" w14:textId="77777777" w:rsidR="00462207" w:rsidRPr="001E041C" w:rsidRDefault="00462207" w:rsidP="00462207">
      <w:pPr>
        <w:pStyle w:val="Header"/>
        <w:tabs>
          <w:tab w:val="clear" w:pos="4153"/>
          <w:tab w:val="clear" w:pos="8306"/>
        </w:tabs>
        <w:spacing w:before="120" w:after="120"/>
        <w:ind w:left="792"/>
        <w:jc w:val="both"/>
        <w:rPr>
          <w:rFonts w:ascii="Arial" w:hAnsi="Arial" w:cs="Arial"/>
          <w:sz w:val="20"/>
          <w:szCs w:val="20"/>
          <w:lang w:val="en-GB"/>
        </w:rPr>
      </w:pPr>
    </w:p>
    <w:p w14:paraId="6BF4B544" w14:textId="77777777" w:rsidR="00781A79" w:rsidRPr="001E041C" w:rsidRDefault="00A30CE0" w:rsidP="00EC2119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/>
          <w:b/>
          <w:sz w:val="20"/>
          <w:lang w:val="en-GB"/>
        </w:rPr>
        <w:t>DEFINITIONS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6080"/>
      </w:tblGrid>
      <w:tr w:rsidR="00A30CE0" w:rsidRPr="001E041C" w14:paraId="58DFAED1" w14:textId="77777777" w:rsidTr="00A30CE0">
        <w:trPr>
          <w:trHeight w:val="300"/>
        </w:trPr>
        <w:tc>
          <w:tcPr>
            <w:tcW w:w="3640" w:type="dxa"/>
            <w:shd w:val="clear" w:color="auto" w:fill="auto"/>
            <w:noWrap/>
            <w:vAlign w:val="center"/>
          </w:tcPr>
          <w:p w14:paraId="25DAF3EE" w14:textId="77777777" w:rsidR="00A30CE0" w:rsidRPr="001E041C" w:rsidRDefault="00A30C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TERM</w:t>
            </w:r>
          </w:p>
        </w:tc>
        <w:tc>
          <w:tcPr>
            <w:tcW w:w="6080" w:type="dxa"/>
            <w:shd w:val="clear" w:color="auto" w:fill="auto"/>
            <w:vAlign w:val="center"/>
            <w:hideMark/>
          </w:tcPr>
          <w:p w14:paraId="5BCCBF9C" w14:textId="77777777" w:rsidR="00A30CE0" w:rsidRPr="001E041C" w:rsidRDefault="00A30CE0" w:rsidP="009818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E041C">
              <w:rPr>
                <w:rFonts w:ascii="Arial" w:hAnsi="Arial"/>
                <w:b/>
                <w:color w:val="000000"/>
                <w:sz w:val="20"/>
                <w:lang w:val="en-GB"/>
              </w:rPr>
              <w:t>DEFINITION</w:t>
            </w:r>
          </w:p>
        </w:tc>
      </w:tr>
      <w:tr w:rsidR="00A30CE0" w:rsidRPr="001E041C" w14:paraId="366F0600" w14:textId="77777777" w:rsidTr="00B83261">
        <w:trPr>
          <w:trHeight w:val="614"/>
        </w:trPr>
        <w:tc>
          <w:tcPr>
            <w:tcW w:w="3640" w:type="dxa"/>
            <w:shd w:val="clear" w:color="auto" w:fill="auto"/>
            <w:vAlign w:val="center"/>
          </w:tcPr>
          <w:p w14:paraId="18427E64" w14:textId="77777777" w:rsidR="00A30CE0" w:rsidRPr="001E041C" w:rsidRDefault="00A30C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E041C">
              <w:rPr>
                <w:rFonts w:ascii="Arial" w:hAnsi="Arial"/>
                <w:b/>
                <w:color w:val="000000"/>
                <w:sz w:val="20"/>
                <w:lang w:val="en-GB"/>
              </w:rPr>
              <w:t>Remuneration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49F77C79" w14:textId="77777777" w:rsidR="00A30CE0" w:rsidRPr="001E041C" w:rsidRDefault="00A30CE0" w:rsidP="00A30CE0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color w:val="000000"/>
                <w:sz w:val="20"/>
                <w:lang w:val="en-GB"/>
              </w:rPr>
              <w:t xml:space="preserve">Monthly financial remuneration </w:t>
            </w:r>
            <w:r w:rsidRPr="001E041C">
              <w:rPr>
                <w:rFonts w:ascii="Arial" w:hAnsi="Arial"/>
                <w:sz w:val="20"/>
                <w:lang w:val="en-GB"/>
              </w:rPr>
              <w:t xml:space="preserve">to the </w:t>
            </w:r>
            <w:r w:rsidR="00311A97">
              <w:rPr>
                <w:rFonts w:ascii="Arial" w:hAnsi="Arial"/>
                <w:sz w:val="20"/>
                <w:lang w:val="en-GB"/>
              </w:rPr>
              <w:t>general manager</w:t>
            </w:r>
            <w:r w:rsidRPr="001E041C">
              <w:rPr>
                <w:rFonts w:ascii="Arial" w:hAnsi="Arial"/>
                <w:sz w:val="20"/>
                <w:lang w:val="en-GB"/>
              </w:rPr>
              <w:t xml:space="preserve"> and members of the Board of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the Company</w:t>
            </w:r>
            <w:r w:rsidRPr="001E041C">
              <w:rPr>
                <w:rFonts w:ascii="Arial" w:hAnsi="Arial"/>
                <w:color w:val="000000"/>
                <w:sz w:val="20"/>
                <w:lang w:val="en-GB"/>
              </w:rPr>
              <w:t xml:space="preserve"> (</w:t>
            </w:r>
            <w:r>
              <w:rPr>
                <w:rFonts w:ascii="Arial" w:hAnsi="Arial"/>
                <w:color w:val="000000"/>
                <w:sz w:val="20"/>
                <w:lang w:val="en-GB"/>
              </w:rPr>
              <w:t>m</w:t>
            </w:r>
            <w:r w:rsidRPr="001E041C">
              <w:rPr>
                <w:rFonts w:ascii="Arial" w:hAnsi="Arial"/>
                <w:color w:val="000000"/>
                <w:sz w:val="20"/>
                <w:lang w:val="en-GB"/>
              </w:rPr>
              <w:t xml:space="preserve">onthly </w:t>
            </w:r>
            <w:r>
              <w:rPr>
                <w:rFonts w:ascii="Arial" w:hAnsi="Arial"/>
                <w:color w:val="000000"/>
                <w:sz w:val="20"/>
                <w:lang w:val="en-GB"/>
              </w:rPr>
              <w:t>Fixed Part and</w:t>
            </w:r>
            <w:r w:rsidRPr="001E041C">
              <w:rPr>
                <w:rFonts w:ascii="Arial" w:hAnsi="Arial"/>
                <w:color w:val="000000"/>
                <w:sz w:val="20"/>
                <w:lang w:val="en-GB"/>
              </w:rPr>
              <w:t xml:space="preserve">/or </w:t>
            </w:r>
            <w:r w:rsidR="00283B44">
              <w:rPr>
                <w:rFonts w:ascii="Arial" w:hAnsi="Arial"/>
                <w:color w:val="000000"/>
                <w:sz w:val="20"/>
                <w:lang w:val="en-GB"/>
              </w:rPr>
              <w:t xml:space="preserve">a </w:t>
            </w:r>
            <w:r>
              <w:rPr>
                <w:rFonts w:ascii="Arial" w:hAnsi="Arial"/>
                <w:color w:val="000000"/>
                <w:sz w:val="20"/>
                <w:lang w:val="en-GB"/>
              </w:rPr>
              <w:t>Variable Part or another financial remuneration</w:t>
            </w:r>
            <w:r w:rsidRPr="001E041C">
              <w:rPr>
                <w:rFonts w:ascii="Arial" w:hAnsi="Arial"/>
                <w:color w:val="000000"/>
                <w:sz w:val="20"/>
                <w:lang w:val="en-GB"/>
              </w:rPr>
              <w:t>)</w:t>
            </w:r>
          </w:p>
        </w:tc>
      </w:tr>
      <w:tr w:rsidR="00A30CE0" w:rsidRPr="001E041C" w14:paraId="526C3DB8" w14:textId="77777777" w:rsidTr="00B83261">
        <w:trPr>
          <w:trHeight w:val="648"/>
        </w:trPr>
        <w:tc>
          <w:tcPr>
            <w:tcW w:w="3640" w:type="dxa"/>
            <w:shd w:val="clear" w:color="auto" w:fill="auto"/>
            <w:vAlign w:val="center"/>
            <w:hideMark/>
          </w:tcPr>
          <w:p w14:paraId="5C45F1E2" w14:textId="77777777" w:rsidR="00A30CE0" w:rsidRPr="001E041C" w:rsidRDefault="00A30C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E041C">
              <w:rPr>
                <w:rFonts w:ascii="Arial" w:hAnsi="Arial"/>
                <w:b/>
                <w:color w:val="000000"/>
                <w:sz w:val="20"/>
                <w:lang w:val="en-GB"/>
              </w:rPr>
              <w:t>Company</w:t>
            </w:r>
          </w:p>
        </w:tc>
        <w:tc>
          <w:tcPr>
            <w:tcW w:w="6080" w:type="dxa"/>
            <w:shd w:val="clear" w:color="auto" w:fill="auto"/>
            <w:vAlign w:val="center"/>
            <w:hideMark/>
          </w:tcPr>
          <w:p w14:paraId="025D5AAD" w14:textId="77777777" w:rsidR="00A30CE0" w:rsidRPr="001E041C" w:rsidRDefault="00A30CE0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E041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Utenos </w:t>
            </w:r>
            <w:proofErr w:type="spellStart"/>
            <w:r w:rsidRPr="001E041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trikotažas</w:t>
            </w:r>
            <w:proofErr w:type="spellEnd"/>
            <w:r w:rsidRPr="001E041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, AB</w:t>
            </w:r>
          </w:p>
        </w:tc>
      </w:tr>
      <w:tr w:rsidR="00A30CE0" w:rsidRPr="001E041C" w14:paraId="497CFFC2" w14:textId="77777777" w:rsidTr="00B83261">
        <w:trPr>
          <w:trHeight w:val="1056"/>
        </w:trPr>
        <w:tc>
          <w:tcPr>
            <w:tcW w:w="3640" w:type="dxa"/>
            <w:shd w:val="clear" w:color="auto" w:fill="auto"/>
            <w:vAlign w:val="center"/>
            <w:hideMark/>
          </w:tcPr>
          <w:p w14:paraId="1D888F65" w14:textId="77777777" w:rsidR="00A30CE0" w:rsidRPr="00990619" w:rsidRDefault="00A30CE0" w:rsidP="00A30C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90619">
              <w:rPr>
                <w:rFonts w:ascii="Arial" w:hAnsi="Arial"/>
                <w:b/>
                <w:sz w:val="20"/>
                <w:szCs w:val="20"/>
                <w:lang w:val="en-GB"/>
              </w:rPr>
              <w:t>Variable part of the remuneration</w:t>
            </w:r>
            <w:r w:rsidRPr="00990619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Pr="00990619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(Variable Part)</w:t>
            </w:r>
          </w:p>
        </w:tc>
        <w:tc>
          <w:tcPr>
            <w:tcW w:w="6080" w:type="dxa"/>
            <w:shd w:val="clear" w:color="auto" w:fill="auto"/>
            <w:vAlign w:val="center"/>
            <w:hideMark/>
          </w:tcPr>
          <w:p w14:paraId="1AF1CE1D" w14:textId="77777777" w:rsidR="00A30CE0" w:rsidRPr="001E041C" w:rsidRDefault="00A30CE0" w:rsidP="00835CA4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E041C">
              <w:rPr>
                <w:rFonts w:ascii="Arial" w:hAnsi="Arial"/>
                <w:color w:val="000000"/>
                <w:sz w:val="20"/>
                <w:lang w:val="en-GB"/>
              </w:rPr>
              <w:t xml:space="preserve">An additional </w:t>
            </w:r>
            <w:r w:rsidR="00835CA4">
              <w:rPr>
                <w:rFonts w:ascii="Arial" w:hAnsi="Arial"/>
                <w:color w:val="000000"/>
                <w:sz w:val="20"/>
                <w:lang w:val="en-GB"/>
              </w:rPr>
              <w:t xml:space="preserve">portion </w:t>
            </w:r>
            <w:r w:rsidRPr="001E041C">
              <w:rPr>
                <w:rFonts w:ascii="Arial" w:hAnsi="Arial"/>
                <w:color w:val="000000"/>
                <w:sz w:val="20"/>
                <w:lang w:val="en-GB"/>
              </w:rPr>
              <w:t xml:space="preserve">of the remuneration paid </w:t>
            </w:r>
            <w:r w:rsidR="00835CA4" w:rsidRPr="001E041C">
              <w:rPr>
                <w:rFonts w:ascii="Arial" w:hAnsi="Arial"/>
                <w:color w:val="000000"/>
                <w:sz w:val="20"/>
                <w:lang w:val="en-GB"/>
              </w:rPr>
              <w:t xml:space="preserve">once a year </w:t>
            </w:r>
            <w:r w:rsidR="00835CA4">
              <w:rPr>
                <w:rFonts w:ascii="Arial" w:hAnsi="Arial"/>
                <w:color w:val="000000"/>
                <w:sz w:val="20"/>
                <w:lang w:val="en-GB"/>
              </w:rPr>
              <w:t>over a set period of time</w:t>
            </w:r>
            <w:r w:rsidRPr="001E041C">
              <w:rPr>
                <w:rFonts w:ascii="Arial" w:hAnsi="Arial"/>
                <w:color w:val="000000"/>
                <w:sz w:val="20"/>
                <w:lang w:val="en-GB"/>
              </w:rPr>
              <w:t xml:space="preserve"> depending on the </w:t>
            </w:r>
            <w:r w:rsidR="00835CA4">
              <w:rPr>
                <w:rFonts w:ascii="Arial" w:hAnsi="Arial"/>
                <w:color w:val="000000"/>
                <w:sz w:val="20"/>
                <w:lang w:val="en-GB"/>
              </w:rPr>
              <w:t>achievement of the objectives/indicators</w:t>
            </w:r>
            <w:r w:rsidRPr="001E041C">
              <w:rPr>
                <w:rFonts w:ascii="Arial" w:hAnsi="Arial"/>
                <w:color w:val="000000"/>
                <w:sz w:val="20"/>
                <w:lang w:val="en-GB"/>
              </w:rPr>
              <w:t xml:space="preserve"> </w:t>
            </w:r>
          </w:p>
        </w:tc>
      </w:tr>
      <w:tr w:rsidR="00A30CE0" w:rsidRPr="001E041C" w14:paraId="60015E28" w14:textId="77777777" w:rsidTr="00B83261">
        <w:trPr>
          <w:trHeight w:val="864"/>
        </w:trPr>
        <w:tc>
          <w:tcPr>
            <w:tcW w:w="3640" w:type="dxa"/>
            <w:shd w:val="clear" w:color="auto" w:fill="auto"/>
            <w:vAlign w:val="center"/>
            <w:hideMark/>
          </w:tcPr>
          <w:p w14:paraId="5B6C8B6B" w14:textId="77777777" w:rsidR="00A30CE0" w:rsidRPr="001E041C" w:rsidRDefault="002125F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20"/>
                <w:lang w:val="en-GB"/>
              </w:rPr>
              <w:t>I</w:t>
            </w:r>
            <w:r w:rsidR="00A30CE0" w:rsidRPr="001E041C">
              <w:rPr>
                <w:rFonts w:ascii="Arial" w:hAnsi="Arial"/>
                <w:b/>
                <w:color w:val="000000"/>
                <w:sz w:val="20"/>
                <w:lang w:val="en-GB"/>
              </w:rPr>
              <w:t>ndicators</w:t>
            </w:r>
          </w:p>
        </w:tc>
        <w:tc>
          <w:tcPr>
            <w:tcW w:w="6080" w:type="dxa"/>
            <w:shd w:val="clear" w:color="auto" w:fill="auto"/>
            <w:vAlign w:val="center"/>
            <w:hideMark/>
          </w:tcPr>
          <w:p w14:paraId="6E2D6ED2" w14:textId="77777777" w:rsidR="00A30CE0" w:rsidRPr="001E041C" w:rsidRDefault="00A30CE0" w:rsidP="00EC7C67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E041C">
              <w:rPr>
                <w:rFonts w:ascii="Arial" w:hAnsi="Arial"/>
                <w:color w:val="000000"/>
                <w:sz w:val="20"/>
                <w:lang w:val="en-GB"/>
              </w:rPr>
              <w:t>A set of objectives/indicators</w:t>
            </w:r>
            <w:r w:rsidR="002125F1">
              <w:rPr>
                <w:rFonts w:ascii="Arial" w:hAnsi="Arial"/>
                <w:color w:val="000000"/>
                <w:sz w:val="20"/>
                <w:lang w:val="en-GB"/>
              </w:rPr>
              <w:t xml:space="preserve"> approved by a certain body of the Company based on the </w:t>
            </w:r>
            <w:r w:rsidRPr="001E041C">
              <w:rPr>
                <w:rFonts w:ascii="Arial" w:hAnsi="Arial"/>
                <w:color w:val="000000"/>
                <w:sz w:val="20"/>
                <w:lang w:val="en-GB"/>
              </w:rPr>
              <w:t xml:space="preserve">balanced </w:t>
            </w:r>
            <w:r w:rsidR="00EC7C67">
              <w:rPr>
                <w:rFonts w:ascii="Arial" w:hAnsi="Arial"/>
                <w:color w:val="000000"/>
                <w:sz w:val="20"/>
                <w:lang w:val="en-GB"/>
              </w:rPr>
              <w:t xml:space="preserve">scoreboard </w:t>
            </w:r>
            <w:r w:rsidRPr="001E041C">
              <w:rPr>
                <w:rFonts w:ascii="Arial" w:hAnsi="Arial"/>
                <w:color w:val="000000"/>
                <w:sz w:val="20"/>
                <w:lang w:val="en-GB"/>
              </w:rPr>
              <w:t xml:space="preserve">or </w:t>
            </w:r>
            <w:r w:rsidR="002125F1">
              <w:rPr>
                <w:rFonts w:ascii="Arial" w:hAnsi="Arial"/>
                <w:color w:val="000000"/>
                <w:sz w:val="20"/>
                <w:lang w:val="en-GB"/>
              </w:rPr>
              <w:t>an</w:t>
            </w:r>
            <w:r w:rsidRPr="001E041C">
              <w:rPr>
                <w:rFonts w:ascii="Arial" w:hAnsi="Arial"/>
                <w:color w:val="000000"/>
                <w:sz w:val="20"/>
                <w:lang w:val="en-GB"/>
              </w:rPr>
              <w:t>other similar</w:t>
            </w:r>
            <w:r w:rsidR="002125F1">
              <w:rPr>
                <w:rFonts w:ascii="Arial" w:hAnsi="Arial"/>
                <w:color w:val="000000"/>
                <w:sz w:val="20"/>
                <w:lang w:val="en-GB"/>
              </w:rPr>
              <w:t xml:space="preserve"> system for determining objectives</w:t>
            </w:r>
            <w:r w:rsidRPr="001E041C">
              <w:rPr>
                <w:rFonts w:ascii="Arial" w:hAnsi="Arial"/>
                <w:color w:val="000000"/>
                <w:sz w:val="20"/>
                <w:lang w:val="en-GB"/>
              </w:rPr>
              <w:t xml:space="preserve"> </w:t>
            </w:r>
          </w:p>
        </w:tc>
      </w:tr>
      <w:tr w:rsidR="00A30CE0" w:rsidRPr="001E041C" w14:paraId="6DAAF1BF" w14:textId="77777777" w:rsidTr="00B83261">
        <w:trPr>
          <w:trHeight w:val="744"/>
        </w:trPr>
        <w:tc>
          <w:tcPr>
            <w:tcW w:w="3640" w:type="dxa"/>
            <w:shd w:val="clear" w:color="auto" w:fill="auto"/>
            <w:vAlign w:val="center"/>
            <w:hideMark/>
          </w:tcPr>
          <w:p w14:paraId="2F8605B7" w14:textId="77777777" w:rsidR="00A30CE0" w:rsidRPr="001E041C" w:rsidRDefault="00EC7C67" w:rsidP="00EC7C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20"/>
                <w:lang w:val="en-GB"/>
              </w:rPr>
              <w:t xml:space="preserve">Job </w:t>
            </w:r>
            <w:r w:rsidR="002D35AB">
              <w:rPr>
                <w:rFonts w:ascii="Arial" w:hAnsi="Arial"/>
                <w:b/>
                <w:color w:val="000000"/>
                <w:sz w:val="20"/>
                <w:lang w:val="en-GB"/>
              </w:rPr>
              <w:t>L</w:t>
            </w:r>
            <w:r>
              <w:rPr>
                <w:rFonts w:ascii="Arial" w:hAnsi="Arial"/>
                <w:b/>
                <w:color w:val="000000"/>
                <w:sz w:val="20"/>
                <w:lang w:val="en-GB"/>
              </w:rPr>
              <w:t>evel</w:t>
            </w:r>
            <w:r w:rsidR="00A30CE0" w:rsidRPr="001E041C">
              <w:rPr>
                <w:rFonts w:ascii="Arial" w:hAnsi="Arial"/>
                <w:b/>
                <w:color w:val="000000"/>
                <w:sz w:val="20"/>
                <w:lang w:val="en-GB"/>
              </w:rPr>
              <w:t xml:space="preserve"> </w:t>
            </w:r>
          </w:p>
        </w:tc>
        <w:tc>
          <w:tcPr>
            <w:tcW w:w="6080" w:type="dxa"/>
            <w:shd w:val="clear" w:color="auto" w:fill="auto"/>
            <w:vAlign w:val="center"/>
            <w:hideMark/>
          </w:tcPr>
          <w:p w14:paraId="43960782" w14:textId="77777777" w:rsidR="00A30CE0" w:rsidRPr="001E041C" w:rsidRDefault="00A30CE0" w:rsidP="00EC7C67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E041C">
              <w:rPr>
                <w:rFonts w:ascii="Arial" w:hAnsi="Arial"/>
                <w:color w:val="000000"/>
                <w:sz w:val="20"/>
                <w:lang w:val="en-GB"/>
              </w:rPr>
              <w:t xml:space="preserve">The relative value of the </w:t>
            </w:r>
            <w:r w:rsidR="00EC7C67">
              <w:rPr>
                <w:rFonts w:ascii="Arial" w:hAnsi="Arial"/>
                <w:color w:val="000000"/>
                <w:sz w:val="20"/>
                <w:lang w:val="en-GB"/>
              </w:rPr>
              <w:t>job</w:t>
            </w:r>
            <w:r w:rsidRPr="001E041C">
              <w:rPr>
                <w:rFonts w:ascii="Arial" w:hAnsi="Arial"/>
                <w:color w:val="000000"/>
                <w:sz w:val="20"/>
                <w:lang w:val="en-GB"/>
              </w:rPr>
              <w:t xml:space="preserve"> determined on the basis of the knowledge required for the </w:t>
            </w:r>
            <w:r w:rsidR="00EC7C67">
              <w:rPr>
                <w:rFonts w:ascii="Arial" w:hAnsi="Arial"/>
                <w:color w:val="000000"/>
                <w:sz w:val="20"/>
                <w:lang w:val="en-GB"/>
              </w:rPr>
              <w:t>job and the problem</w:t>
            </w:r>
            <w:r w:rsidRPr="001E041C">
              <w:rPr>
                <w:rFonts w:ascii="Arial" w:hAnsi="Arial"/>
                <w:color w:val="000000"/>
                <w:sz w:val="20"/>
                <w:lang w:val="en-GB"/>
              </w:rPr>
              <w:t xml:space="preserve"> </w:t>
            </w:r>
            <w:r w:rsidR="00EC7C67">
              <w:rPr>
                <w:rFonts w:ascii="Arial" w:hAnsi="Arial"/>
                <w:color w:val="000000"/>
                <w:sz w:val="20"/>
                <w:lang w:val="en-GB"/>
              </w:rPr>
              <w:t xml:space="preserve">solving </w:t>
            </w:r>
            <w:r w:rsidRPr="001E041C">
              <w:rPr>
                <w:rFonts w:ascii="Arial" w:hAnsi="Arial"/>
                <w:color w:val="000000"/>
                <w:sz w:val="20"/>
                <w:lang w:val="en-GB"/>
              </w:rPr>
              <w:t xml:space="preserve">and responsibility </w:t>
            </w:r>
            <w:r w:rsidR="00EC7C67">
              <w:rPr>
                <w:rFonts w:ascii="Arial" w:hAnsi="Arial"/>
                <w:color w:val="000000"/>
                <w:sz w:val="20"/>
                <w:lang w:val="en-GB"/>
              </w:rPr>
              <w:t>level</w:t>
            </w:r>
          </w:p>
        </w:tc>
      </w:tr>
      <w:tr w:rsidR="00A30CE0" w:rsidRPr="001E041C" w14:paraId="7DF39386" w14:textId="77777777" w:rsidTr="00B83261">
        <w:trPr>
          <w:trHeight w:val="516"/>
        </w:trPr>
        <w:tc>
          <w:tcPr>
            <w:tcW w:w="3640" w:type="dxa"/>
            <w:shd w:val="clear" w:color="auto" w:fill="auto"/>
            <w:vAlign w:val="center"/>
          </w:tcPr>
          <w:p w14:paraId="52091F53" w14:textId="77777777" w:rsidR="00A30CE0" w:rsidRPr="001E041C" w:rsidRDefault="00EC7C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20"/>
                <w:lang w:val="en-GB"/>
              </w:rPr>
              <w:t>Remuneration P</w:t>
            </w:r>
            <w:r w:rsidR="00A30CE0" w:rsidRPr="001E041C">
              <w:rPr>
                <w:rFonts w:ascii="Arial" w:hAnsi="Arial"/>
                <w:b/>
                <w:color w:val="000000"/>
                <w:sz w:val="20"/>
                <w:lang w:val="en-GB"/>
              </w:rPr>
              <w:t>olicy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4303A591" w14:textId="77777777" w:rsidR="00A30CE0" w:rsidRPr="001E041C" w:rsidRDefault="00A30CE0" w:rsidP="003A699E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1E041C">
              <w:rPr>
                <w:rFonts w:ascii="Arial" w:hAnsi="Arial"/>
                <w:color w:val="000000"/>
                <w:sz w:val="20"/>
                <w:lang w:val="en-GB"/>
              </w:rPr>
              <w:t xml:space="preserve">This </w:t>
            </w:r>
            <w:r w:rsidR="00EC7C67">
              <w:rPr>
                <w:rFonts w:ascii="Arial" w:hAnsi="Arial"/>
                <w:color w:val="000000"/>
                <w:sz w:val="20"/>
                <w:lang w:val="en-GB"/>
              </w:rPr>
              <w:t xml:space="preserve">Remuneration Policy of </w:t>
            </w:r>
            <w:r w:rsidR="00EC7C67" w:rsidRPr="001E041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Utenos </w:t>
            </w:r>
            <w:proofErr w:type="spellStart"/>
            <w:r w:rsidR="00EC7C67" w:rsidRPr="001E041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trikotažas</w:t>
            </w:r>
            <w:proofErr w:type="spellEnd"/>
            <w:r w:rsidR="00EC7C67" w:rsidRPr="001E041C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, AB</w:t>
            </w:r>
            <w:r w:rsidRPr="001E041C">
              <w:rPr>
                <w:rFonts w:ascii="Arial" w:hAnsi="Arial"/>
                <w:color w:val="000000"/>
                <w:sz w:val="20"/>
                <w:lang w:val="en-GB"/>
              </w:rPr>
              <w:t xml:space="preserve"> </w:t>
            </w:r>
            <w:r w:rsidR="003A699E" w:rsidRPr="001E041C">
              <w:rPr>
                <w:rFonts w:ascii="Arial" w:hAnsi="Arial"/>
                <w:sz w:val="20"/>
                <w:lang w:val="en-GB"/>
              </w:rPr>
              <w:t xml:space="preserve">for the </w:t>
            </w:r>
            <w:r w:rsidR="00311A97">
              <w:rPr>
                <w:rFonts w:ascii="Arial" w:hAnsi="Arial"/>
                <w:sz w:val="20"/>
                <w:lang w:val="en-GB"/>
              </w:rPr>
              <w:t>general manager</w:t>
            </w:r>
            <w:r w:rsidR="003A699E" w:rsidRPr="001E041C">
              <w:rPr>
                <w:rFonts w:ascii="Arial" w:hAnsi="Arial"/>
                <w:sz w:val="20"/>
                <w:lang w:val="en-GB"/>
              </w:rPr>
              <w:t xml:space="preserve"> and members of the Board of </w:t>
            </w:r>
            <w:r w:rsidR="003A699E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the Company</w:t>
            </w:r>
          </w:p>
        </w:tc>
      </w:tr>
      <w:tr w:rsidR="00A30CE0" w:rsidRPr="001E041C" w14:paraId="30CB6CF8" w14:textId="77777777" w:rsidTr="00B83261">
        <w:trPr>
          <w:trHeight w:val="516"/>
        </w:trPr>
        <w:tc>
          <w:tcPr>
            <w:tcW w:w="3640" w:type="dxa"/>
            <w:shd w:val="clear" w:color="auto" w:fill="auto"/>
            <w:vAlign w:val="center"/>
          </w:tcPr>
          <w:p w14:paraId="046F7272" w14:textId="77777777" w:rsidR="00A30CE0" w:rsidRPr="001E041C" w:rsidRDefault="003A69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color w:val="000000"/>
                <w:sz w:val="20"/>
                <w:lang w:val="en-GB"/>
              </w:rPr>
              <w:lastRenderedPageBreak/>
              <w:t>Executives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42862F25" w14:textId="77777777" w:rsidR="00A30CE0" w:rsidRPr="001E041C" w:rsidRDefault="00311A97" w:rsidP="0096000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General manager</w:t>
            </w:r>
            <w:r w:rsidR="003A699E" w:rsidRPr="001E041C">
              <w:rPr>
                <w:rFonts w:ascii="Arial" w:hAnsi="Arial"/>
                <w:sz w:val="20"/>
                <w:lang w:val="en-GB"/>
              </w:rPr>
              <w:t xml:space="preserve"> and members of the Board of </w:t>
            </w:r>
            <w:r w:rsidR="003A699E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the Company</w:t>
            </w:r>
          </w:p>
        </w:tc>
      </w:tr>
    </w:tbl>
    <w:p w14:paraId="0720275C" w14:textId="77777777" w:rsidR="004B60D0" w:rsidRPr="001E041C" w:rsidRDefault="004B60D0" w:rsidP="004B60D0">
      <w:pPr>
        <w:pStyle w:val="Header"/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792AFE9" w14:textId="77777777" w:rsidR="009B39A5" w:rsidRPr="001E041C" w:rsidRDefault="009B39A5" w:rsidP="009B39A5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1E041C">
        <w:rPr>
          <w:rFonts w:ascii="Arial" w:hAnsi="Arial"/>
          <w:b/>
          <w:sz w:val="20"/>
          <w:lang w:val="en-GB"/>
        </w:rPr>
        <w:t>GENERAL PROVISIONS</w:t>
      </w:r>
    </w:p>
    <w:p w14:paraId="51738663" w14:textId="77777777" w:rsidR="00034069" w:rsidRPr="001E041C" w:rsidRDefault="00F4536A" w:rsidP="00CB4AAE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/>
          <w:sz w:val="20"/>
          <w:lang w:val="en-GB"/>
        </w:rPr>
        <w:t>The Remuneration Policy contributes to the C</w:t>
      </w:r>
      <w:r w:rsidR="00034069" w:rsidRPr="001E041C">
        <w:rPr>
          <w:rFonts w:ascii="Arial" w:hAnsi="Arial"/>
          <w:sz w:val="20"/>
          <w:lang w:val="en-GB"/>
        </w:rPr>
        <w:t>ompany</w:t>
      </w:r>
      <w:r>
        <w:rPr>
          <w:rFonts w:ascii="Arial" w:hAnsi="Arial"/>
          <w:sz w:val="20"/>
          <w:lang w:val="en-GB"/>
        </w:rPr>
        <w:t>’</w:t>
      </w:r>
      <w:r w:rsidR="00034069" w:rsidRPr="001E041C">
        <w:rPr>
          <w:rFonts w:ascii="Arial" w:hAnsi="Arial"/>
          <w:sz w:val="20"/>
          <w:lang w:val="en-GB"/>
        </w:rPr>
        <w:t xml:space="preserve">s strategy, long-term objectives and interests, </w:t>
      </w:r>
      <w:r>
        <w:rPr>
          <w:rFonts w:ascii="Arial" w:hAnsi="Arial"/>
          <w:sz w:val="20"/>
          <w:lang w:val="en-GB"/>
        </w:rPr>
        <w:t>i.e.</w:t>
      </w:r>
      <w:r w:rsidR="00034069" w:rsidRPr="001E041C">
        <w:rPr>
          <w:rFonts w:ascii="Arial" w:hAnsi="Arial"/>
          <w:sz w:val="20"/>
          <w:lang w:val="en-GB"/>
        </w:rPr>
        <w:t xml:space="preserve">: </w:t>
      </w:r>
    </w:p>
    <w:p w14:paraId="57F770D6" w14:textId="77777777" w:rsidR="009B39A5" w:rsidRPr="001E041C" w:rsidRDefault="009B39A5" w:rsidP="00CB4AAE">
      <w:pPr>
        <w:pStyle w:val="Header"/>
        <w:numPr>
          <w:ilvl w:val="2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 xml:space="preserve">Orientation </w:t>
      </w:r>
      <w:r w:rsidR="00F4536A">
        <w:rPr>
          <w:rFonts w:ascii="Arial" w:hAnsi="Arial"/>
          <w:sz w:val="20"/>
          <w:lang w:val="en-GB"/>
        </w:rPr>
        <w:t xml:space="preserve">to </w:t>
      </w:r>
      <w:r w:rsidR="00283B44">
        <w:rPr>
          <w:rFonts w:ascii="Arial" w:hAnsi="Arial"/>
          <w:sz w:val="20"/>
          <w:lang w:val="en-GB"/>
        </w:rPr>
        <w:t xml:space="preserve">the </w:t>
      </w:r>
      <w:r w:rsidR="00F4536A">
        <w:rPr>
          <w:rFonts w:ascii="Arial" w:hAnsi="Arial"/>
          <w:sz w:val="20"/>
          <w:lang w:val="en-GB"/>
        </w:rPr>
        <w:t>business strategy and</w:t>
      </w:r>
      <w:r w:rsidRPr="001E041C">
        <w:rPr>
          <w:rFonts w:ascii="Arial" w:hAnsi="Arial"/>
          <w:sz w:val="20"/>
          <w:lang w:val="en-GB"/>
        </w:rPr>
        <w:t xml:space="preserve"> dynamism: </w:t>
      </w:r>
      <w:r w:rsidR="00B51F94">
        <w:rPr>
          <w:rFonts w:ascii="Arial" w:hAnsi="Arial"/>
          <w:sz w:val="20"/>
          <w:lang w:val="en-GB"/>
        </w:rPr>
        <w:t xml:space="preserve">the </w:t>
      </w:r>
      <w:r w:rsidRPr="001E041C">
        <w:rPr>
          <w:rFonts w:ascii="Arial" w:hAnsi="Arial"/>
          <w:sz w:val="20"/>
          <w:lang w:val="en-GB"/>
        </w:rPr>
        <w:t xml:space="preserve">Remuneration </w:t>
      </w:r>
      <w:r w:rsidR="00F4536A">
        <w:rPr>
          <w:rFonts w:ascii="Arial" w:hAnsi="Arial"/>
          <w:sz w:val="20"/>
          <w:lang w:val="en-GB"/>
        </w:rPr>
        <w:t>P</w:t>
      </w:r>
      <w:r w:rsidRPr="001E041C">
        <w:rPr>
          <w:rFonts w:ascii="Arial" w:hAnsi="Arial"/>
          <w:sz w:val="20"/>
          <w:lang w:val="en-GB"/>
        </w:rPr>
        <w:t>olic</w:t>
      </w:r>
      <w:r w:rsidR="00F4536A">
        <w:rPr>
          <w:rFonts w:ascii="Arial" w:hAnsi="Arial"/>
          <w:sz w:val="20"/>
          <w:lang w:val="en-GB"/>
        </w:rPr>
        <w:t xml:space="preserve">y </w:t>
      </w:r>
      <w:r w:rsidRPr="001E041C">
        <w:rPr>
          <w:rFonts w:ascii="Arial" w:hAnsi="Arial"/>
          <w:sz w:val="20"/>
          <w:lang w:val="en-GB"/>
        </w:rPr>
        <w:t>contribute</w:t>
      </w:r>
      <w:r w:rsidR="00F4536A">
        <w:rPr>
          <w:rFonts w:ascii="Arial" w:hAnsi="Arial"/>
          <w:sz w:val="20"/>
          <w:lang w:val="en-GB"/>
        </w:rPr>
        <w:t>s</w:t>
      </w:r>
      <w:r w:rsidRPr="001E041C">
        <w:rPr>
          <w:rFonts w:ascii="Arial" w:hAnsi="Arial"/>
          <w:sz w:val="20"/>
          <w:lang w:val="en-GB"/>
        </w:rPr>
        <w:t xml:space="preserve"> to the implementation of the </w:t>
      </w:r>
      <w:r w:rsidR="00F4536A">
        <w:rPr>
          <w:rFonts w:ascii="Arial" w:hAnsi="Arial"/>
          <w:sz w:val="20"/>
          <w:lang w:val="en-GB"/>
        </w:rPr>
        <w:t xml:space="preserve">Company’s </w:t>
      </w:r>
      <w:r w:rsidRPr="001E041C">
        <w:rPr>
          <w:rFonts w:ascii="Arial" w:hAnsi="Arial"/>
          <w:sz w:val="20"/>
          <w:lang w:val="en-GB"/>
        </w:rPr>
        <w:t>strategy. The polic</w:t>
      </w:r>
      <w:r w:rsidR="00F4536A">
        <w:rPr>
          <w:rFonts w:ascii="Arial" w:hAnsi="Arial"/>
          <w:sz w:val="20"/>
          <w:lang w:val="en-GB"/>
        </w:rPr>
        <w:t xml:space="preserve">y must be </w:t>
      </w:r>
      <w:r w:rsidRPr="001E041C">
        <w:rPr>
          <w:rFonts w:ascii="Arial" w:hAnsi="Arial"/>
          <w:sz w:val="20"/>
          <w:lang w:val="en-GB"/>
        </w:rPr>
        <w:t>dynamic, responsive to the market situation, needs</w:t>
      </w:r>
      <w:r w:rsidR="00F4536A">
        <w:rPr>
          <w:rFonts w:ascii="Arial" w:hAnsi="Arial"/>
          <w:sz w:val="20"/>
          <w:lang w:val="en-GB"/>
        </w:rPr>
        <w:t xml:space="preserve"> of the </w:t>
      </w:r>
      <w:r w:rsidR="00F4536A" w:rsidRPr="001E041C">
        <w:rPr>
          <w:rFonts w:ascii="Arial" w:hAnsi="Arial"/>
          <w:sz w:val="20"/>
          <w:lang w:val="en-GB"/>
        </w:rPr>
        <w:t>organization</w:t>
      </w:r>
      <w:r w:rsidRPr="001E041C">
        <w:rPr>
          <w:rFonts w:ascii="Arial" w:hAnsi="Arial"/>
          <w:sz w:val="20"/>
          <w:lang w:val="en-GB"/>
        </w:rPr>
        <w:t xml:space="preserve">, business development priorities and plans, and </w:t>
      </w:r>
      <w:r w:rsidR="00F4536A">
        <w:rPr>
          <w:rFonts w:ascii="Arial" w:hAnsi="Arial"/>
          <w:sz w:val="20"/>
          <w:lang w:val="en-GB"/>
        </w:rPr>
        <w:t xml:space="preserve">must </w:t>
      </w:r>
      <w:r w:rsidRPr="001E041C">
        <w:rPr>
          <w:rFonts w:ascii="Arial" w:hAnsi="Arial"/>
          <w:sz w:val="20"/>
          <w:lang w:val="en-GB"/>
        </w:rPr>
        <w:t xml:space="preserve">encourage the </w:t>
      </w:r>
      <w:r w:rsidR="00F4536A">
        <w:rPr>
          <w:rFonts w:ascii="Arial" w:hAnsi="Arial"/>
          <w:sz w:val="20"/>
          <w:lang w:val="en-GB"/>
        </w:rPr>
        <w:t xml:space="preserve">required </w:t>
      </w:r>
      <w:r w:rsidRPr="001E041C">
        <w:rPr>
          <w:rFonts w:ascii="Arial" w:hAnsi="Arial"/>
          <w:sz w:val="20"/>
          <w:lang w:val="en-GB"/>
        </w:rPr>
        <w:t>change</w:t>
      </w:r>
      <w:r w:rsidR="00F4536A">
        <w:rPr>
          <w:rFonts w:ascii="Arial" w:hAnsi="Arial"/>
          <w:sz w:val="20"/>
          <w:lang w:val="en-GB"/>
        </w:rPr>
        <w:t xml:space="preserve"> in the </w:t>
      </w:r>
      <w:r w:rsidR="00F4536A" w:rsidRPr="001E041C">
        <w:rPr>
          <w:rFonts w:ascii="Arial" w:hAnsi="Arial"/>
          <w:sz w:val="20"/>
          <w:lang w:val="en-GB"/>
        </w:rPr>
        <w:t>organization</w:t>
      </w:r>
      <w:r w:rsidRPr="001E041C">
        <w:rPr>
          <w:rFonts w:ascii="Arial" w:hAnsi="Arial"/>
          <w:sz w:val="20"/>
          <w:lang w:val="en-GB"/>
        </w:rPr>
        <w:t>.</w:t>
      </w:r>
    </w:p>
    <w:p w14:paraId="4AB098A9" w14:textId="77777777" w:rsidR="009B39A5" w:rsidRPr="001E041C" w:rsidRDefault="009B39A5" w:rsidP="009B39A5">
      <w:pPr>
        <w:pStyle w:val="Header"/>
        <w:numPr>
          <w:ilvl w:val="2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 xml:space="preserve">Result orientation: </w:t>
      </w:r>
      <w:proofErr w:type="gramStart"/>
      <w:r w:rsidR="00B51F94">
        <w:rPr>
          <w:rFonts w:ascii="Arial" w:hAnsi="Arial"/>
          <w:sz w:val="20"/>
          <w:lang w:val="en-GB"/>
        </w:rPr>
        <w:t>the</w:t>
      </w:r>
      <w:proofErr w:type="gramEnd"/>
      <w:r w:rsidR="00B51F94">
        <w:rPr>
          <w:rFonts w:ascii="Arial" w:hAnsi="Arial"/>
          <w:sz w:val="20"/>
          <w:lang w:val="en-GB"/>
        </w:rPr>
        <w:t xml:space="preserve"> </w:t>
      </w:r>
      <w:r w:rsidRPr="001E041C">
        <w:rPr>
          <w:rFonts w:ascii="Arial" w:hAnsi="Arial"/>
          <w:sz w:val="20"/>
          <w:lang w:val="en-GB"/>
        </w:rPr>
        <w:t xml:space="preserve">Remuneration </w:t>
      </w:r>
      <w:r w:rsidR="00B51F94">
        <w:rPr>
          <w:rFonts w:ascii="Arial" w:hAnsi="Arial"/>
          <w:sz w:val="20"/>
          <w:lang w:val="en-GB"/>
        </w:rPr>
        <w:t>P</w:t>
      </w:r>
      <w:r w:rsidRPr="001E041C">
        <w:rPr>
          <w:rFonts w:ascii="Arial" w:hAnsi="Arial"/>
          <w:sz w:val="20"/>
          <w:lang w:val="en-GB"/>
        </w:rPr>
        <w:t>olic</w:t>
      </w:r>
      <w:r w:rsidR="00B51F94">
        <w:rPr>
          <w:rFonts w:ascii="Arial" w:hAnsi="Arial"/>
          <w:sz w:val="20"/>
          <w:lang w:val="en-GB"/>
        </w:rPr>
        <w:t>y</w:t>
      </w:r>
      <w:r w:rsidRPr="001E041C">
        <w:rPr>
          <w:rFonts w:ascii="Arial" w:hAnsi="Arial"/>
          <w:sz w:val="20"/>
          <w:lang w:val="en-GB"/>
        </w:rPr>
        <w:t xml:space="preserve"> </w:t>
      </w:r>
      <w:r w:rsidR="00B51F94">
        <w:rPr>
          <w:rFonts w:ascii="Arial" w:hAnsi="Arial"/>
          <w:sz w:val="20"/>
          <w:lang w:val="en-GB"/>
        </w:rPr>
        <w:t xml:space="preserve">encourages to achieve </w:t>
      </w:r>
      <w:r w:rsidRPr="001E041C">
        <w:rPr>
          <w:rFonts w:ascii="Arial" w:hAnsi="Arial"/>
          <w:sz w:val="20"/>
          <w:lang w:val="en-GB"/>
        </w:rPr>
        <w:t xml:space="preserve">organizational and personal objectives, </w:t>
      </w:r>
      <w:r w:rsidR="00283B44">
        <w:rPr>
          <w:rFonts w:ascii="Arial" w:hAnsi="Arial"/>
          <w:sz w:val="20"/>
          <w:lang w:val="en-GB"/>
        </w:rPr>
        <w:t xml:space="preserve">to </w:t>
      </w:r>
      <w:r w:rsidR="00B51F94">
        <w:rPr>
          <w:rFonts w:ascii="Arial" w:hAnsi="Arial"/>
          <w:sz w:val="20"/>
          <w:lang w:val="en-GB"/>
        </w:rPr>
        <w:t>build</w:t>
      </w:r>
      <w:r w:rsidRPr="001E041C">
        <w:rPr>
          <w:rFonts w:ascii="Arial" w:hAnsi="Arial"/>
          <w:sz w:val="20"/>
          <w:lang w:val="en-GB"/>
        </w:rPr>
        <w:t xml:space="preserve"> competitive advantages and </w:t>
      </w:r>
      <w:r w:rsidR="00283B44">
        <w:rPr>
          <w:rFonts w:ascii="Arial" w:hAnsi="Arial"/>
          <w:sz w:val="20"/>
          <w:lang w:val="en-GB"/>
        </w:rPr>
        <w:t xml:space="preserve">to </w:t>
      </w:r>
      <w:r w:rsidRPr="001E041C">
        <w:rPr>
          <w:rFonts w:ascii="Arial" w:hAnsi="Arial"/>
          <w:sz w:val="20"/>
          <w:lang w:val="en-GB"/>
        </w:rPr>
        <w:t>improve.</w:t>
      </w:r>
    </w:p>
    <w:p w14:paraId="73DD59D7" w14:textId="77777777" w:rsidR="009B39A5" w:rsidRPr="001E041C" w:rsidRDefault="00504DBB" w:rsidP="009B39A5">
      <w:pPr>
        <w:pStyle w:val="Header"/>
        <w:numPr>
          <w:ilvl w:val="2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 xml:space="preserve">External competitiveness – </w:t>
      </w:r>
      <w:r w:rsidR="00B51F94">
        <w:rPr>
          <w:rFonts w:ascii="Arial" w:hAnsi="Arial"/>
          <w:sz w:val="20"/>
          <w:lang w:val="en-GB"/>
        </w:rPr>
        <w:t>the R</w:t>
      </w:r>
      <w:r w:rsidRPr="001E041C">
        <w:rPr>
          <w:rFonts w:ascii="Arial" w:hAnsi="Arial"/>
          <w:sz w:val="20"/>
          <w:lang w:val="en-GB"/>
        </w:rPr>
        <w:t xml:space="preserve">emuneration </w:t>
      </w:r>
      <w:r w:rsidR="00B51F94">
        <w:rPr>
          <w:rFonts w:ascii="Arial" w:hAnsi="Arial"/>
          <w:sz w:val="20"/>
          <w:lang w:val="en-GB"/>
        </w:rPr>
        <w:t>P</w:t>
      </w:r>
      <w:r w:rsidRPr="001E041C">
        <w:rPr>
          <w:rFonts w:ascii="Arial" w:hAnsi="Arial"/>
          <w:sz w:val="20"/>
          <w:lang w:val="en-GB"/>
        </w:rPr>
        <w:t>olic</w:t>
      </w:r>
      <w:r w:rsidR="00B51F94">
        <w:rPr>
          <w:rFonts w:ascii="Arial" w:hAnsi="Arial"/>
          <w:sz w:val="20"/>
          <w:lang w:val="en-GB"/>
        </w:rPr>
        <w:t>y</w:t>
      </w:r>
      <w:r w:rsidRPr="001E041C">
        <w:rPr>
          <w:rFonts w:ascii="Arial" w:hAnsi="Arial"/>
          <w:sz w:val="20"/>
          <w:lang w:val="en-GB"/>
        </w:rPr>
        <w:t xml:space="preserve"> reflect</w:t>
      </w:r>
      <w:r w:rsidR="00B51F94">
        <w:rPr>
          <w:rFonts w:ascii="Arial" w:hAnsi="Arial"/>
          <w:sz w:val="20"/>
          <w:lang w:val="en-GB"/>
        </w:rPr>
        <w:t xml:space="preserve">s market trends; it is </w:t>
      </w:r>
      <w:r w:rsidRPr="001E041C">
        <w:rPr>
          <w:rFonts w:ascii="Arial" w:hAnsi="Arial"/>
          <w:sz w:val="20"/>
          <w:lang w:val="en-GB"/>
        </w:rPr>
        <w:t>aim</w:t>
      </w:r>
      <w:r w:rsidR="00B51F94">
        <w:rPr>
          <w:rFonts w:ascii="Arial" w:hAnsi="Arial"/>
          <w:sz w:val="20"/>
          <w:lang w:val="en-GB"/>
        </w:rPr>
        <w:t>ed</w:t>
      </w:r>
      <w:r w:rsidRPr="001E041C">
        <w:rPr>
          <w:rFonts w:ascii="Arial" w:hAnsi="Arial"/>
          <w:sz w:val="20"/>
          <w:lang w:val="en-GB"/>
        </w:rPr>
        <w:t xml:space="preserve"> </w:t>
      </w:r>
      <w:r w:rsidR="00B51F94">
        <w:rPr>
          <w:rFonts w:ascii="Arial" w:hAnsi="Arial"/>
          <w:sz w:val="20"/>
          <w:lang w:val="en-GB"/>
        </w:rPr>
        <w:t>at</w:t>
      </w:r>
      <w:r w:rsidRPr="001E041C">
        <w:rPr>
          <w:rFonts w:ascii="Arial" w:hAnsi="Arial"/>
          <w:sz w:val="20"/>
          <w:lang w:val="en-GB"/>
        </w:rPr>
        <w:t xml:space="preserve"> attracting and retaining </w:t>
      </w:r>
      <w:r w:rsidR="00B51F94">
        <w:rPr>
          <w:rFonts w:ascii="Arial" w:hAnsi="Arial"/>
          <w:sz w:val="20"/>
          <w:lang w:val="en-GB"/>
        </w:rPr>
        <w:t xml:space="preserve">Executives of </w:t>
      </w:r>
      <w:r w:rsidR="00283B44">
        <w:rPr>
          <w:rFonts w:ascii="Arial" w:hAnsi="Arial"/>
          <w:sz w:val="20"/>
          <w:lang w:val="en-GB"/>
        </w:rPr>
        <w:t xml:space="preserve">the </w:t>
      </w:r>
      <w:r w:rsidR="00B51F94">
        <w:rPr>
          <w:rFonts w:ascii="Arial" w:hAnsi="Arial"/>
          <w:sz w:val="20"/>
          <w:lang w:val="en-GB"/>
        </w:rPr>
        <w:t>required qualifications for the Company</w:t>
      </w:r>
      <w:r w:rsidRPr="001E041C">
        <w:rPr>
          <w:rFonts w:ascii="Arial" w:hAnsi="Arial"/>
          <w:sz w:val="20"/>
          <w:lang w:val="en-GB"/>
        </w:rPr>
        <w:t>.</w:t>
      </w:r>
    </w:p>
    <w:p w14:paraId="0DCC9421" w14:textId="77777777" w:rsidR="00CB4AAE" w:rsidRPr="001E041C" w:rsidRDefault="00CB4AAE" w:rsidP="00CB4AAE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 xml:space="preserve">The </w:t>
      </w:r>
      <w:r w:rsidR="00B51F94">
        <w:rPr>
          <w:rFonts w:ascii="Arial" w:hAnsi="Arial"/>
          <w:sz w:val="20"/>
          <w:lang w:val="en-GB"/>
        </w:rPr>
        <w:t>Remuneration P</w:t>
      </w:r>
      <w:r w:rsidRPr="001E041C">
        <w:rPr>
          <w:rFonts w:ascii="Arial" w:hAnsi="Arial"/>
          <w:sz w:val="20"/>
          <w:lang w:val="en-GB"/>
        </w:rPr>
        <w:t xml:space="preserve">olicy is aimed at providing appropriate incentives to </w:t>
      </w:r>
      <w:r w:rsidR="00B51F94">
        <w:rPr>
          <w:rFonts w:ascii="Arial" w:hAnsi="Arial"/>
          <w:sz w:val="20"/>
          <w:lang w:val="en-GB"/>
        </w:rPr>
        <w:t>C</w:t>
      </w:r>
      <w:r w:rsidRPr="001E041C">
        <w:rPr>
          <w:rFonts w:ascii="Arial" w:hAnsi="Arial"/>
          <w:sz w:val="20"/>
          <w:lang w:val="en-GB"/>
        </w:rPr>
        <w:t>ompan</w:t>
      </w:r>
      <w:r w:rsidR="00B51F94">
        <w:rPr>
          <w:rFonts w:ascii="Arial" w:hAnsi="Arial"/>
          <w:sz w:val="20"/>
          <w:lang w:val="en-GB"/>
        </w:rPr>
        <w:t>y Executives</w:t>
      </w:r>
      <w:r w:rsidRPr="001E041C">
        <w:rPr>
          <w:rFonts w:ascii="Arial" w:hAnsi="Arial"/>
          <w:sz w:val="20"/>
          <w:lang w:val="en-GB"/>
        </w:rPr>
        <w:t xml:space="preserve"> whose personal activities have a significant impact on </w:t>
      </w:r>
      <w:r w:rsidR="00CB790F">
        <w:rPr>
          <w:rFonts w:ascii="Arial" w:hAnsi="Arial"/>
          <w:sz w:val="20"/>
          <w:lang w:val="en-GB"/>
        </w:rPr>
        <w:t>the Company’s business and</w:t>
      </w:r>
      <w:r w:rsidRPr="001E041C">
        <w:rPr>
          <w:rFonts w:ascii="Arial" w:hAnsi="Arial"/>
          <w:sz w:val="20"/>
          <w:lang w:val="en-GB"/>
        </w:rPr>
        <w:t xml:space="preserve"> </w:t>
      </w:r>
      <w:r w:rsidR="00CB790F">
        <w:rPr>
          <w:rFonts w:ascii="Arial" w:hAnsi="Arial"/>
          <w:sz w:val="20"/>
          <w:lang w:val="en-GB"/>
        </w:rPr>
        <w:t>on r</w:t>
      </w:r>
      <w:r w:rsidRPr="001E041C">
        <w:rPr>
          <w:rFonts w:ascii="Arial" w:hAnsi="Arial"/>
          <w:sz w:val="20"/>
          <w:lang w:val="en-GB"/>
        </w:rPr>
        <w:t>espect</w:t>
      </w:r>
      <w:r w:rsidR="00CB790F">
        <w:rPr>
          <w:rFonts w:ascii="Arial" w:hAnsi="Arial"/>
          <w:sz w:val="20"/>
          <w:lang w:val="en-GB"/>
        </w:rPr>
        <w:t>ing organizational</w:t>
      </w:r>
      <w:r w:rsidRPr="001E041C">
        <w:rPr>
          <w:rFonts w:ascii="Arial" w:hAnsi="Arial"/>
          <w:sz w:val="20"/>
          <w:lang w:val="en-GB"/>
        </w:rPr>
        <w:t xml:space="preserve"> values </w:t>
      </w:r>
      <w:r w:rsidR="00CB790F">
        <w:rPr>
          <w:rFonts w:ascii="Arial" w:hAnsi="Arial"/>
          <w:sz w:val="20"/>
          <w:lang w:val="en-GB"/>
        </w:rPr>
        <w:t>in the Company’</w:t>
      </w:r>
      <w:r w:rsidRPr="001E041C">
        <w:rPr>
          <w:rFonts w:ascii="Arial" w:hAnsi="Arial"/>
          <w:sz w:val="20"/>
          <w:lang w:val="en-GB"/>
        </w:rPr>
        <w:t>s activities.</w:t>
      </w:r>
    </w:p>
    <w:p w14:paraId="7C5B75C0" w14:textId="77777777" w:rsidR="00CB4AAE" w:rsidRPr="001E041C" w:rsidRDefault="00CB4AAE" w:rsidP="00CB4AAE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 xml:space="preserve">Where the same person holds the position of </w:t>
      </w:r>
      <w:r w:rsidR="00595189">
        <w:rPr>
          <w:rFonts w:ascii="Arial" w:hAnsi="Arial"/>
          <w:sz w:val="20"/>
          <w:lang w:val="en-GB"/>
        </w:rPr>
        <w:t xml:space="preserve">the </w:t>
      </w:r>
      <w:r w:rsidR="00311A97">
        <w:rPr>
          <w:rFonts w:ascii="Arial" w:hAnsi="Arial"/>
          <w:sz w:val="20"/>
          <w:lang w:val="en-GB"/>
        </w:rPr>
        <w:t>general manager</w:t>
      </w:r>
      <w:r w:rsidR="00595189" w:rsidRPr="001E041C">
        <w:rPr>
          <w:rFonts w:ascii="Arial" w:hAnsi="Arial"/>
          <w:sz w:val="20"/>
          <w:lang w:val="en-GB"/>
        </w:rPr>
        <w:t xml:space="preserve"> and </w:t>
      </w:r>
      <w:r w:rsidR="00595189">
        <w:rPr>
          <w:rFonts w:ascii="Arial" w:hAnsi="Arial"/>
          <w:sz w:val="20"/>
          <w:lang w:val="en-GB"/>
        </w:rPr>
        <w:t>a member</w:t>
      </w:r>
      <w:r w:rsidR="00595189" w:rsidRPr="001E041C">
        <w:rPr>
          <w:rFonts w:ascii="Arial" w:hAnsi="Arial"/>
          <w:sz w:val="20"/>
          <w:lang w:val="en-GB"/>
        </w:rPr>
        <w:t xml:space="preserve"> of the Board of </w:t>
      </w:r>
      <w:r w:rsidR="00595189">
        <w:rPr>
          <w:rFonts w:ascii="Arial" w:hAnsi="Arial" w:cs="Arial"/>
          <w:bCs/>
          <w:color w:val="000000"/>
          <w:sz w:val="20"/>
          <w:szCs w:val="20"/>
          <w:lang w:val="en-GB"/>
        </w:rPr>
        <w:t>the Company</w:t>
      </w:r>
      <w:r w:rsidR="00595189" w:rsidRPr="001E041C">
        <w:rPr>
          <w:rFonts w:ascii="Arial" w:hAnsi="Arial"/>
          <w:sz w:val="20"/>
          <w:lang w:val="en-GB"/>
        </w:rPr>
        <w:t xml:space="preserve"> </w:t>
      </w:r>
      <w:r w:rsidRPr="001E041C">
        <w:rPr>
          <w:rFonts w:ascii="Arial" w:hAnsi="Arial"/>
          <w:sz w:val="20"/>
          <w:lang w:val="en-GB"/>
        </w:rPr>
        <w:t xml:space="preserve">or the position </w:t>
      </w:r>
      <w:r w:rsidR="00595189">
        <w:rPr>
          <w:rFonts w:ascii="Arial" w:hAnsi="Arial"/>
          <w:sz w:val="20"/>
          <w:lang w:val="en-GB"/>
        </w:rPr>
        <w:t>of a member</w:t>
      </w:r>
      <w:r w:rsidR="00595189" w:rsidRPr="001E041C">
        <w:rPr>
          <w:rFonts w:ascii="Arial" w:hAnsi="Arial"/>
          <w:sz w:val="20"/>
          <w:lang w:val="en-GB"/>
        </w:rPr>
        <w:t xml:space="preserve"> of the Board </w:t>
      </w:r>
      <w:r w:rsidR="00595189">
        <w:rPr>
          <w:rFonts w:ascii="Arial" w:hAnsi="Arial"/>
          <w:sz w:val="20"/>
          <w:lang w:val="en-GB"/>
        </w:rPr>
        <w:t xml:space="preserve">and </w:t>
      </w:r>
      <w:r w:rsidR="001A4069">
        <w:rPr>
          <w:rFonts w:ascii="Arial" w:hAnsi="Arial"/>
          <w:sz w:val="20"/>
          <w:lang w:val="en-GB"/>
        </w:rPr>
        <w:t>an</w:t>
      </w:r>
      <w:r w:rsidR="00595189">
        <w:rPr>
          <w:rFonts w:ascii="Arial" w:hAnsi="Arial"/>
          <w:sz w:val="20"/>
          <w:lang w:val="en-GB"/>
        </w:rPr>
        <w:t>other job in</w:t>
      </w:r>
      <w:r w:rsidR="00595189" w:rsidRPr="001E041C">
        <w:rPr>
          <w:rFonts w:ascii="Arial" w:hAnsi="Arial"/>
          <w:sz w:val="20"/>
          <w:lang w:val="en-GB"/>
        </w:rPr>
        <w:t xml:space="preserve"> </w:t>
      </w:r>
      <w:r w:rsidR="00595189">
        <w:rPr>
          <w:rFonts w:ascii="Arial" w:hAnsi="Arial" w:cs="Arial"/>
          <w:bCs/>
          <w:color w:val="000000"/>
          <w:sz w:val="20"/>
          <w:szCs w:val="20"/>
          <w:lang w:val="en-GB"/>
        </w:rPr>
        <w:t>the Company</w:t>
      </w:r>
      <w:r w:rsidR="00595189" w:rsidRPr="001E041C">
        <w:rPr>
          <w:rFonts w:ascii="Arial" w:hAnsi="Arial"/>
          <w:sz w:val="20"/>
          <w:lang w:val="en-GB"/>
        </w:rPr>
        <w:t xml:space="preserve"> </w:t>
      </w:r>
      <w:r w:rsidRPr="001E041C">
        <w:rPr>
          <w:rFonts w:ascii="Arial" w:hAnsi="Arial"/>
          <w:sz w:val="20"/>
          <w:lang w:val="en-GB"/>
        </w:rPr>
        <w:t xml:space="preserve">and/or in another </w:t>
      </w:r>
      <w:r w:rsidR="00595189">
        <w:rPr>
          <w:rFonts w:ascii="Arial" w:hAnsi="Arial"/>
          <w:sz w:val="20"/>
          <w:lang w:val="en-GB"/>
        </w:rPr>
        <w:t>company of the Group in which the Company is a part</w:t>
      </w:r>
      <w:r w:rsidRPr="001E041C">
        <w:rPr>
          <w:rFonts w:ascii="Arial" w:hAnsi="Arial"/>
          <w:sz w:val="20"/>
          <w:lang w:val="en-GB"/>
        </w:rPr>
        <w:t xml:space="preserve"> (hereinafter </w:t>
      </w:r>
      <w:r w:rsidR="00595189">
        <w:rPr>
          <w:rFonts w:ascii="Arial" w:hAnsi="Arial"/>
          <w:sz w:val="20"/>
          <w:lang w:val="en-GB"/>
        </w:rPr>
        <w:t xml:space="preserve">– </w:t>
      </w:r>
      <w:r w:rsidRPr="001E041C">
        <w:rPr>
          <w:rFonts w:ascii="Arial" w:hAnsi="Arial"/>
          <w:b/>
          <w:sz w:val="20"/>
          <w:lang w:val="en-GB"/>
        </w:rPr>
        <w:t xml:space="preserve">affiliated </w:t>
      </w:r>
      <w:r w:rsidR="00595189">
        <w:rPr>
          <w:rFonts w:ascii="Arial" w:hAnsi="Arial"/>
          <w:b/>
          <w:sz w:val="20"/>
          <w:lang w:val="en-GB"/>
        </w:rPr>
        <w:t>company</w:t>
      </w:r>
      <w:r w:rsidRPr="001E041C">
        <w:rPr>
          <w:rFonts w:ascii="Arial" w:hAnsi="Arial"/>
          <w:sz w:val="20"/>
          <w:lang w:val="en-GB"/>
        </w:rPr>
        <w:t xml:space="preserve">), </w:t>
      </w:r>
      <w:r w:rsidR="00595189">
        <w:rPr>
          <w:rFonts w:ascii="Arial" w:hAnsi="Arial"/>
          <w:sz w:val="20"/>
          <w:lang w:val="en-GB"/>
        </w:rPr>
        <w:t>a single type of remuneration shall be paid to such Executive</w:t>
      </w:r>
      <w:r w:rsidRPr="001E041C">
        <w:rPr>
          <w:rFonts w:ascii="Arial" w:hAnsi="Arial"/>
          <w:sz w:val="20"/>
          <w:lang w:val="en-GB"/>
        </w:rPr>
        <w:t xml:space="preserve">, </w:t>
      </w:r>
      <w:r w:rsidR="00595189">
        <w:rPr>
          <w:rFonts w:ascii="Arial" w:hAnsi="Arial"/>
          <w:sz w:val="20"/>
          <w:lang w:val="en-GB"/>
        </w:rPr>
        <w:t>i</w:t>
      </w:r>
      <w:r w:rsidRPr="001E041C">
        <w:rPr>
          <w:rFonts w:ascii="Arial" w:hAnsi="Arial"/>
          <w:sz w:val="20"/>
          <w:lang w:val="en-GB"/>
        </w:rPr>
        <w:t xml:space="preserve">.e. total remuneration for </w:t>
      </w:r>
      <w:r w:rsidR="00595189">
        <w:rPr>
          <w:rFonts w:ascii="Arial" w:hAnsi="Arial"/>
          <w:sz w:val="20"/>
          <w:lang w:val="en-GB"/>
        </w:rPr>
        <w:t xml:space="preserve">holding the </w:t>
      </w:r>
      <w:r w:rsidR="00595189" w:rsidRPr="001E041C">
        <w:rPr>
          <w:rFonts w:ascii="Arial" w:hAnsi="Arial"/>
          <w:sz w:val="20"/>
          <w:lang w:val="en-GB"/>
        </w:rPr>
        <w:t xml:space="preserve">position of </w:t>
      </w:r>
      <w:r w:rsidR="00595189">
        <w:rPr>
          <w:rFonts w:ascii="Arial" w:hAnsi="Arial"/>
          <w:sz w:val="20"/>
          <w:lang w:val="en-GB"/>
        </w:rPr>
        <w:t xml:space="preserve">the </w:t>
      </w:r>
      <w:r w:rsidR="00311A97">
        <w:rPr>
          <w:rFonts w:ascii="Arial" w:hAnsi="Arial"/>
          <w:sz w:val="20"/>
          <w:lang w:val="en-GB"/>
        </w:rPr>
        <w:t>general manager</w:t>
      </w:r>
      <w:r w:rsidRPr="001E041C">
        <w:rPr>
          <w:rFonts w:ascii="Arial" w:hAnsi="Arial"/>
          <w:sz w:val="20"/>
          <w:lang w:val="en-GB"/>
        </w:rPr>
        <w:t xml:space="preserve"> or </w:t>
      </w:r>
      <w:r w:rsidR="00595189" w:rsidRPr="001E041C">
        <w:rPr>
          <w:rFonts w:ascii="Arial" w:hAnsi="Arial"/>
          <w:sz w:val="20"/>
          <w:lang w:val="en-GB"/>
        </w:rPr>
        <w:t xml:space="preserve">total remuneration </w:t>
      </w:r>
      <w:r w:rsidRPr="001E041C">
        <w:rPr>
          <w:rFonts w:ascii="Arial" w:hAnsi="Arial"/>
          <w:sz w:val="20"/>
          <w:lang w:val="en-GB"/>
        </w:rPr>
        <w:t xml:space="preserve">for </w:t>
      </w:r>
      <w:r w:rsidR="00595189">
        <w:rPr>
          <w:rFonts w:ascii="Arial" w:hAnsi="Arial"/>
          <w:sz w:val="20"/>
          <w:lang w:val="en-GB"/>
        </w:rPr>
        <w:t xml:space="preserve">the job </w:t>
      </w:r>
      <w:r w:rsidRPr="001E041C">
        <w:rPr>
          <w:rFonts w:ascii="Arial" w:hAnsi="Arial"/>
          <w:sz w:val="20"/>
          <w:lang w:val="en-GB"/>
        </w:rPr>
        <w:t xml:space="preserve">(the remuneration principles for other </w:t>
      </w:r>
      <w:r w:rsidR="00595189">
        <w:rPr>
          <w:rFonts w:ascii="Arial" w:hAnsi="Arial"/>
          <w:sz w:val="20"/>
          <w:lang w:val="en-GB"/>
        </w:rPr>
        <w:t>jobs</w:t>
      </w:r>
      <w:r w:rsidRPr="001E041C">
        <w:rPr>
          <w:rFonts w:ascii="Arial" w:hAnsi="Arial"/>
          <w:sz w:val="20"/>
          <w:lang w:val="en-GB"/>
        </w:rPr>
        <w:t xml:space="preserve"> in the </w:t>
      </w:r>
      <w:r w:rsidR="00595189">
        <w:rPr>
          <w:rFonts w:ascii="Arial" w:hAnsi="Arial"/>
          <w:sz w:val="20"/>
          <w:lang w:val="en-GB"/>
        </w:rPr>
        <w:t>C</w:t>
      </w:r>
      <w:r w:rsidRPr="001E041C">
        <w:rPr>
          <w:rFonts w:ascii="Arial" w:hAnsi="Arial"/>
          <w:sz w:val="20"/>
          <w:lang w:val="en-GB"/>
        </w:rPr>
        <w:t>ompany are laid down in the</w:t>
      </w:r>
      <w:r w:rsidR="00595189" w:rsidRPr="00595189">
        <w:rPr>
          <w:rFonts w:ascii="Arial" w:hAnsi="Arial"/>
          <w:sz w:val="20"/>
          <w:lang w:val="en-GB"/>
        </w:rPr>
        <w:t xml:space="preserve"> </w:t>
      </w:r>
      <w:r w:rsidR="00595189" w:rsidRPr="001E041C">
        <w:rPr>
          <w:rFonts w:ascii="Arial" w:hAnsi="Arial"/>
          <w:sz w:val="20"/>
          <w:lang w:val="en-GB"/>
        </w:rPr>
        <w:t xml:space="preserve">SBA </w:t>
      </w:r>
      <w:r w:rsidR="00595189">
        <w:rPr>
          <w:rFonts w:ascii="Arial" w:hAnsi="Arial"/>
          <w:sz w:val="20"/>
          <w:lang w:val="en-GB"/>
        </w:rPr>
        <w:t>G</w:t>
      </w:r>
      <w:r w:rsidR="00595189" w:rsidRPr="001E041C">
        <w:rPr>
          <w:rFonts w:ascii="Arial" w:hAnsi="Arial"/>
          <w:sz w:val="20"/>
          <w:lang w:val="en-GB"/>
        </w:rPr>
        <w:t xml:space="preserve">roup </w:t>
      </w:r>
      <w:r w:rsidRPr="001E041C">
        <w:rPr>
          <w:rFonts w:ascii="Arial" w:hAnsi="Arial"/>
          <w:sz w:val="20"/>
          <w:lang w:val="en-GB"/>
        </w:rPr>
        <w:t xml:space="preserve">remuneration policy), </w:t>
      </w:r>
      <w:r w:rsidR="00AF545B">
        <w:rPr>
          <w:rFonts w:ascii="Arial" w:hAnsi="Arial"/>
          <w:sz w:val="20"/>
          <w:lang w:val="en-GB"/>
        </w:rPr>
        <w:t xml:space="preserve">but no additional </w:t>
      </w:r>
      <w:r w:rsidRPr="001E041C">
        <w:rPr>
          <w:rFonts w:ascii="Arial" w:hAnsi="Arial"/>
          <w:sz w:val="20"/>
          <w:lang w:val="en-GB"/>
        </w:rPr>
        <w:t xml:space="preserve">remuneration </w:t>
      </w:r>
      <w:r w:rsidR="00AF545B">
        <w:rPr>
          <w:rFonts w:ascii="Arial" w:hAnsi="Arial"/>
          <w:sz w:val="20"/>
          <w:lang w:val="en-GB"/>
        </w:rPr>
        <w:t xml:space="preserve">shall be paid for </w:t>
      </w:r>
      <w:r w:rsidRPr="001E041C">
        <w:rPr>
          <w:rFonts w:ascii="Arial" w:hAnsi="Arial"/>
          <w:sz w:val="20"/>
          <w:lang w:val="en-GB"/>
        </w:rPr>
        <w:t xml:space="preserve">duties </w:t>
      </w:r>
      <w:r w:rsidR="00AF545B">
        <w:rPr>
          <w:rFonts w:ascii="Arial" w:hAnsi="Arial"/>
          <w:sz w:val="20"/>
          <w:lang w:val="en-GB"/>
        </w:rPr>
        <w:t>as</w:t>
      </w:r>
      <w:r w:rsidRPr="001E041C">
        <w:rPr>
          <w:rFonts w:ascii="Arial" w:hAnsi="Arial"/>
          <w:sz w:val="20"/>
          <w:lang w:val="en-GB"/>
        </w:rPr>
        <w:t xml:space="preserve"> the </w:t>
      </w:r>
      <w:r w:rsidR="00AF545B">
        <w:rPr>
          <w:rFonts w:ascii="Arial" w:hAnsi="Arial"/>
          <w:sz w:val="20"/>
          <w:lang w:val="en-GB"/>
        </w:rPr>
        <w:t>m</w:t>
      </w:r>
      <w:r w:rsidRPr="001E041C">
        <w:rPr>
          <w:rFonts w:ascii="Arial" w:hAnsi="Arial"/>
          <w:sz w:val="20"/>
          <w:lang w:val="en-GB"/>
        </w:rPr>
        <w:t xml:space="preserve">ember of the </w:t>
      </w:r>
      <w:r w:rsidR="00AF545B">
        <w:rPr>
          <w:rFonts w:ascii="Arial" w:hAnsi="Arial"/>
          <w:sz w:val="20"/>
          <w:lang w:val="en-GB"/>
        </w:rPr>
        <w:t>B</w:t>
      </w:r>
      <w:r w:rsidRPr="001E041C">
        <w:rPr>
          <w:rFonts w:ascii="Arial" w:hAnsi="Arial"/>
          <w:sz w:val="20"/>
          <w:lang w:val="en-GB"/>
        </w:rPr>
        <w:t>oard.</w:t>
      </w:r>
    </w:p>
    <w:p w14:paraId="5BC136B1" w14:textId="77777777" w:rsidR="00CB4AAE" w:rsidRPr="001E041C" w:rsidRDefault="0091009C" w:rsidP="006570F3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</w:t>
      </w:r>
      <w:r w:rsidR="009E79E8" w:rsidRPr="001E041C">
        <w:rPr>
          <w:rFonts w:ascii="Arial" w:hAnsi="Arial"/>
          <w:sz w:val="20"/>
          <w:lang w:val="en-GB"/>
        </w:rPr>
        <w:t xml:space="preserve">Remuneration </w:t>
      </w:r>
      <w:r>
        <w:rPr>
          <w:rFonts w:ascii="Arial" w:hAnsi="Arial"/>
          <w:sz w:val="20"/>
          <w:lang w:val="en-GB"/>
        </w:rPr>
        <w:t>P</w:t>
      </w:r>
      <w:r w:rsidR="009E79E8" w:rsidRPr="001E041C">
        <w:rPr>
          <w:rFonts w:ascii="Arial" w:hAnsi="Arial"/>
          <w:sz w:val="20"/>
          <w:lang w:val="en-GB"/>
        </w:rPr>
        <w:t>olic</w:t>
      </w:r>
      <w:r>
        <w:rPr>
          <w:rFonts w:ascii="Arial" w:hAnsi="Arial"/>
          <w:sz w:val="20"/>
          <w:lang w:val="en-GB"/>
        </w:rPr>
        <w:t>y</w:t>
      </w:r>
      <w:r w:rsidR="009E79E8" w:rsidRPr="001E041C">
        <w:rPr>
          <w:rFonts w:ascii="Arial" w:hAnsi="Arial"/>
          <w:sz w:val="20"/>
          <w:lang w:val="en-GB"/>
        </w:rPr>
        <w:t xml:space="preserve"> must be applied in such a way as to avoid any discrimination on </w:t>
      </w:r>
      <w:r>
        <w:rPr>
          <w:rFonts w:ascii="Arial" w:hAnsi="Arial"/>
          <w:sz w:val="20"/>
          <w:lang w:val="en-GB"/>
        </w:rPr>
        <w:t>the basis of gender</w:t>
      </w:r>
      <w:r w:rsidR="009E79E8" w:rsidRPr="001E041C">
        <w:rPr>
          <w:rFonts w:ascii="Arial" w:hAnsi="Arial"/>
          <w:sz w:val="20"/>
          <w:lang w:val="en-GB"/>
        </w:rPr>
        <w:t xml:space="preserve"> and on other </w:t>
      </w:r>
      <w:r>
        <w:rPr>
          <w:rFonts w:ascii="Arial" w:hAnsi="Arial"/>
          <w:sz w:val="20"/>
          <w:lang w:val="en-GB"/>
        </w:rPr>
        <w:t>grounds. Men and women shall be equally</w:t>
      </w:r>
      <w:r w:rsidR="009E79E8" w:rsidRPr="001E041C">
        <w:rPr>
          <w:rFonts w:ascii="Arial" w:hAnsi="Arial"/>
          <w:sz w:val="20"/>
          <w:lang w:val="en-GB"/>
        </w:rPr>
        <w:t xml:space="preserve"> remunerat</w:t>
      </w:r>
      <w:r>
        <w:rPr>
          <w:rFonts w:ascii="Arial" w:hAnsi="Arial"/>
          <w:sz w:val="20"/>
          <w:lang w:val="en-GB"/>
        </w:rPr>
        <w:t>ed</w:t>
      </w:r>
      <w:r w:rsidR="009E79E8" w:rsidRPr="001E041C">
        <w:rPr>
          <w:rFonts w:ascii="Arial" w:hAnsi="Arial"/>
          <w:sz w:val="20"/>
          <w:lang w:val="en-GB"/>
        </w:rPr>
        <w:t xml:space="preserve"> for the same or </w:t>
      </w:r>
      <w:r>
        <w:rPr>
          <w:rFonts w:ascii="Arial" w:hAnsi="Arial"/>
          <w:sz w:val="20"/>
          <w:lang w:val="en-GB"/>
        </w:rPr>
        <w:t xml:space="preserve">an </w:t>
      </w:r>
      <w:r w:rsidR="009E79E8" w:rsidRPr="001E041C">
        <w:rPr>
          <w:rFonts w:ascii="Arial" w:hAnsi="Arial"/>
          <w:sz w:val="20"/>
          <w:lang w:val="en-GB"/>
        </w:rPr>
        <w:t xml:space="preserve">equivalent </w:t>
      </w:r>
      <w:r>
        <w:rPr>
          <w:rFonts w:ascii="Arial" w:hAnsi="Arial"/>
          <w:sz w:val="20"/>
          <w:lang w:val="en-GB"/>
        </w:rPr>
        <w:t>job</w:t>
      </w:r>
      <w:r w:rsidR="009E79E8" w:rsidRPr="001E041C">
        <w:rPr>
          <w:rFonts w:ascii="Arial" w:hAnsi="Arial"/>
          <w:sz w:val="20"/>
          <w:lang w:val="en-GB"/>
        </w:rPr>
        <w:t>/activity. In</w:t>
      </w:r>
      <w:r w:rsidR="001A4069">
        <w:rPr>
          <w:rFonts w:ascii="Arial" w:hAnsi="Arial"/>
          <w:sz w:val="20"/>
          <w:lang w:val="en-GB"/>
        </w:rPr>
        <w:t xml:space="preserve"> terms of </w:t>
      </w:r>
      <w:r w:rsidR="009E79E8" w:rsidRPr="001E041C">
        <w:rPr>
          <w:rFonts w:ascii="Arial" w:hAnsi="Arial"/>
          <w:sz w:val="20"/>
          <w:lang w:val="en-GB"/>
        </w:rPr>
        <w:t xml:space="preserve">implementing the principles of gender equality and non-discrimination on other grounds, </w:t>
      </w:r>
      <w:r w:rsidRPr="001E041C">
        <w:rPr>
          <w:rFonts w:ascii="Arial" w:hAnsi="Arial"/>
          <w:sz w:val="20"/>
          <w:lang w:val="en-GB"/>
        </w:rPr>
        <w:t>discriminat</w:t>
      </w:r>
      <w:r w:rsidR="0053577F">
        <w:rPr>
          <w:rFonts w:ascii="Arial" w:hAnsi="Arial"/>
          <w:sz w:val="20"/>
          <w:lang w:val="en-GB"/>
        </w:rPr>
        <w:t>ion-free</w:t>
      </w:r>
      <w:r w:rsidRPr="001E041C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 xml:space="preserve">Executive </w:t>
      </w:r>
      <w:r w:rsidRPr="001E041C">
        <w:rPr>
          <w:rFonts w:ascii="Arial" w:hAnsi="Arial"/>
          <w:sz w:val="20"/>
          <w:lang w:val="en-GB"/>
        </w:rPr>
        <w:t xml:space="preserve">remuneration </w:t>
      </w:r>
      <w:r w:rsidR="0053577F">
        <w:rPr>
          <w:rFonts w:ascii="Arial" w:hAnsi="Arial"/>
          <w:sz w:val="20"/>
          <w:lang w:val="en-GB"/>
        </w:rPr>
        <w:t xml:space="preserve">means discrimination-free </w:t>
      </w:r>
      <w:r w:rsidR="009E79E8" w:rsidRPr="001E041C">
        <w:rPr>
          <w:rFonts w:ascii="Arial" w:hAnsi="Arial"/>
          <w:sz w:val="20"/>
          <w:lang w:val="en-GB"/>
        </w:rPr>
        <w:t xml:space="preserve">remuneration for work/activity and any additional amounts </w:t>
      </w:r>
      <w:r w:rsidR="0053577F">
        <w:rPr>
          <w:rFonts w:ascii="Arial" w:hAnsi="Arial"/>
          <w:sz w:val="20"/>
          <w:lang w:val="en-GB"/>
        </w:rPr>
        <w:t>paid under this Remuneration P</w:t>
      </w:r>
      <w:r w:rsidR="009E79E8" w:rsidRPr="001E041C">
        <w:rPr>
          <w:rFonts w:ascii="Arial" w:hAnsi="Arial"/>
          <w:sz w:val="20"/>
          <w:lang w:val="en-GB"/>
        </w:rPr>
        <w:t>olicy.</w:t>
      </w:r>
    </w:p>
    <w:p w14:paraId="1E5C0C87" w14:textId="77777777" w:rsidR="009B39A5" w:rsidRPr="001E041C" w:rsidRDefault="009B39A5" w:rsidP="004B60D0">
      <w:pPr>
        <w:pStyle w:val="Header"/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C5963EB" w14:textId="77777777" w:rsidR="004919FF" w:rsidRPr="001E041C" w:rsidRDefault="002D35AB" w:rsidP="00EC2119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sz w:val="20"/>
          <w:lang w:val="en-GB"/>
        </w:rPr>
        <w:t>SETTING AND REVIEW OF THE MONTHLY SALARY</w:t>
      </w:r>
    </w:p>
    <w:p w14:paraId="1C5B1626" w14:textId="77777777" w:rsidR="003D1C7E" w:rsidRPr="001E041C" w:rsidRDefault="001A4069" w:rsidP="00637E48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/>
          <w:sz w:val="20"/>
          <w:lang w:val="en-GB"/>
        </w:rPr>
        <w:t>The E</w:t>
      </w:r>
      <w:r w:rsidR="002D35AB">
        <w:rPr>
          <w:rFonts w:ascii="Arial" w:hAnsi="Arial"/>
          <w:sz w:val="20"/>
          <w:lang w:val="en-GB"/>
        </w:rPr>
        <w:t>xecutive</w:t>
      </w:r>
      <w:r w:rsidR="009E79E8" w:rsidRPr="001E041C">
        <w:rPr>
          <w:rFonts w:ascii="Arial" w:hAnsi="Arial"/>
          <w:sz w:val="20"/>
          <w:lang w:val="en-GB"/>
        </w:rPr>
        <w:t xml:space="preserve"> </w:t>
      </w:r>
      <w:r w:rsidR="002D35AB">
        <w:rPr>
          <w:rFonts w:ascii="Arial" w:hAnsi="Arial"/>
          <w:sz w:val="20"/>
          <w:lang w:val="en-GB"/>
        </w:rPr>
        <w:t xml:space="preserve">monthly salary </w:t>
      </w:r>
      <w:r w:rsidR="009E79E8" w:rsidRPr="001E041C">
        <w:rPr>
          <w:rFonts w:ascii="Arial" w:hAnsi="Arial"/>
          <w:sz w:val="20"/>
          <w:lang w:val="en-GB"/>
        </w:rPr>
        <w:t>shall be determined in ac</w:t>
      </w:r>
      <w:r w:rsidR="002D35AB">
        <w:rPr>
          <w:rFonts w:ascii="Arial" w:hAnsi="Arial"/>
          <w:sz w:val="20"/>
          <w:lang w:val="en-GB"/>
        </w:rPr>
        <w:t xml:space="preserve">cordance with the principle of </w:t>
      </w:r>
      <w:r w:rsidR="00471A56">
        <w:rPr>
          <w:rFonts w:ascii="Arial" w:hAnsi="Arial"/>
          <w:sz w:val="20"/>
          <w:lang w:val="en-GB"/>
        </w:rPr>
        <w:t>internal equity</w:t>
      </w:r>
      <w:r w:rsidR="009E79E8" w:rsidRPr="001E041C">
        <w:rPr>
          <w:rFonts w:ascii="Arial" w:hAnsi="Arial"/>
          <w:sz w:val="20"/>
          <w:lang w:val="en-GB"/>
        </w:rPr>
        <w:t xml:space="preserve">, taking into account the </w:t>
      </w:r>
      <w:r w:rsidR="002D35AB">
        <w:rPr>
          <w:rFonts w:ascii="Arial" w:hAnsi="Arial"/>
          <w:sz w:val="20"/>
          <w:lang w:val="en-GB"/>
        </w:rPr>
        <w:t>Job L</w:t>
      </w:r>
      <w:r w:rsidR="009E79E8" w:rsidRPr="001E041C">
        <w:rPr>
          <w:rFonts w:ascii="Arial" w:hAnsi="Arial"/>
          <w:sz w:val="20"/>
          <w:lang w:val="en-GB"/>
        </w:rPr>
        <w:t>evel</w:t>
      </w:r>
      <w:r w:rsidR="002D35AB">
        <w:rPr>
          <w:rFonts w:ascii="Arial" w:hAnsi="Arial"/>
          <w:sz w:val="20"/>
          <w:lang w:val="en-GB"/>
        </w:rPr>
        <w:t>, activities</w:t>
      </w:r>
      <w:r w:rsidR="009E79E8" w:rsidRPr="001E041C">
        <w:rPr>
          <w:rFonts w:ascii="Arial" w:hAnsi="Arial"/>
          <w:sz w:val="20"/>
          <w:lang w:val="en-GB"/>
        </w:rPr>
        <w:t>, budget and the level of competence</w:t>
      </w:r>
      <w:r w:rsidR="002D35AB">
        <w:rPr>
          <w:rFonts w:ascii="Arial" w:hAnsi="Arial"/>
          <w:sz w:val="20"/>
          <w:lang w:val="en-GB"/>
        </w:rPr>
        <w:t xml:space="preserve">, which shall </w:t>
      </w:r>
      <w:r w:rsidR="009E79E8" w:rsidRPr="001E041C">
        <w:rPr>
          <w:rFonts w:ascii="Arial" w:hAnsi="Arial"/>
          <w:sz w:val="20"/>
          <w:lang w:val="en-GB"/>
        </w:rPr>
        <w:t xml:space="preserve">be determined </w:t>
      </w:r>
      <w:r w:rsidR="002D35AB">
        <w:rPr>
          <w:rFonts w:ascii="Arial" w:hAnsi="Arial"/>
          <w:sz w:val="20"/>
          <w:lang w:val="en-GB"/>
        </w:rPr>
        <w:t xml:space="preserve">during the Executive </w:t>
      </w:r>
      <w:r w:rsidR="009E79E8" w:rsidRPr="001E041C">
        <w:rPr>
          <w:rFonts w:ascii="Arial" w:hAnsi="Arial"/>
          <w:sz w:val="20"/>
          <w:lang w:val="en-GB"/>
        </w:rPr>
        <w:t>evaluation or selection process.</w:t>
      </w:r>
    </w:p>
    <w:p w14:paraId="6D6D793B" w14:textId="77777777" w:rsidR="00852462" w:rsidRPr="001E041C" w:rsidRDefault="00D12803" w:rsidP="00D12803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 xml:space="preserve">The monthly </w:t>
      </w:r>
      <w:r w:rsidR="00471A56">
        <w:rPr>
          <w:rFonts w:ascii="Arial" w:hAnsi="Arial"/>
          <w:sz w:val="20"/>
          <w:lang w:val="en-GB"/>
        </w:rPr>
        <w:t xml:space="preserve">salary </w:t>
      </w:r>
      <w:r w:rsidRPr="001E041C">
        <w:rPr>
          <w:rFonts w:ascii="Arial" w:hAnsi="Arial"/>
          <w:sz w:val="20"/>
          <w:lang w:val="en-GB"/>
        </w:rPr>
        <w:t xml:space="preserve">of the </w:t>
      </w:r>
      <w:r w:rsidR="00311A97">
        <w:rPr>
          <w:rFonts w:ascii="Arial" w:hAnsi="Arial"/>
          <w:sz w:val="20"/>
          <w:lang w:val="en-GB"/>
        </w:rPr>
        <w:t>general manager</w:t>
      </w:r>
      <w:r w:rsidR="00C679DC">
        <w:rPr>
          <w:rFonts w:ascii="Arial" w:hAnsi="Arial"/>
          <w:sz w:val="20"/>
          <w:lang w:val="en-GB"/>
        </w:rPr>
        <w:t xml:space="preserve"> shall be determined</w:t>
      </w:r>
      <w:r w:rsidRPr="001E041C">
        <w:rPr>
          <w:rFonts w:ascii="Arial" w:hAnsi="Arial"/>
          <w:sz w:val="20"/>
          <w:lang w:val="en-GB"/>
        </w:rPr>
        <w:t xml:space="preserve"> b</w:t>
      </w:r>
      <w:r w:rsidR="00471A56">
        <w:rPr>
          <w:rFonts w:ascii="Arial" w:hAnsi="Arial"/>
          <w:sz w:val="20"/>
          <w:lang w:val="en-GB"/>
        </w:rPr>
        <w:t xml:space="preserve">y </w:t>
      </w:r>
      <w:r w:rsidR="00E35F43">
        <w:rPr>
          <w:rFonts w:ascii="Arial" w:hAnsi="Arial"/>
          <w:sz w:val="20"/>
          <w:lang w:val="en-GB"/>
        </w:rPr>
        <w:t xml:space="preserve">the </w:t>
      </w:r>
      <w:r w:rsidR="00471A56">
        <w:rPr>
          <w:rFonts w:ascii="Arial" w:hAnsi="Arial"/>
          <w:sz w:val="20"/>
          <w:lang w:val="en-GB"/>
        </w:rPr>
        <w:t>decision of the Board of the C</w:t>
      </w:r>
      <w:r w:rsidRPr="001E041C">
        <w:rPr>
          <w:rFonts w:ascii="Arial" w:hAnsi="Arial"/>
          <w:sz w:val="20"/>
          <w:lang w:val="en-GB"/>
        </w:rPr>
        <w:t>ompany and shall be specified in the employment</w:t>
      </w:r>
      <w:r w:rsidR="00471A56" w:rsidRPr="00471A56">
        <w:rPr>
          <w:rFonts w:ascii="Arial" w:hAnsi="Arial"/>
          <w:sz w:val="20"/>
          <w:lang w:val="en-GB"/>
        </w:rPr>
        <w:t xml:space="preserve"> </w:t>
      </w:r>
      <w:r w:rsidR="00471A56">
        <w:rPr>
          <w:rFonts w:ascii="Arial" w:hAnsi="Arial"/>
          <w:sz w:val="20"/>
          <w:lang w:val="en-GB"/>
        </w:rPr>
        <w:t>contract</w:t>
      </w:r>
      <w:r w:rsidRPr="001E041C">
        <w:rPr>
          <w:rFonts w:ascii="Arial" w:hAnsi="Arial"/>
          <w:sz w:val="20"/>
          <w:lang w:val="en-GB"/>
        </w:rPr>
        <w:t xml:space="preserve">. The monthly </w:t>
      </w:r>
      <w:r w:rsidR="00471A56">
        <w:rPr>
          <w:rFonts w:ascii="Arial" w:hAnsi="Arial"/>
          <w:sz w:val="20"/>
          <w:lang w:val="en-GB"/>
        </w:rPr>
        <w:t>salary to</w:t>
      </w:r>
      <w:r w:rsidRPr="001E041C">
        <w:rPr>
          <w:rFonts w:ascii="Arial" w:hAnsi="Arial"/>
          <w:sz w:val="20"/>
          <w:lang w:val="en-GB"/>
        </w:rPr>
        <w:t xml:space="preserve"> the members of the Board shall be determined by the decision of the General </w:t>
      </w:r>
      <w:r w:rsidR="00471A56">
        <w:rPr>
          <w:rFonts w:ascii="Arial" w:hAnsi="Arial"/>
          <w:sz w:val="20"/>
          <w:lang w:val="en-GB"/>
        </w:rPr>
        <w:t>M</w:t>
      </w:r>
      <w:r w:rsidRPr="001E041C">
        <w:rPr>
          <w:rFonts w:ascii="Arial" w:hAnsi="Arial"/>
          <w:sz w:val="20"/>
          <w:lang w:val="en-GB"/>
        </w:rPr>
        <w:t xml:space="preserve">eeting of Shareholders and shall be specified in the service contract concluded with the </w:t>
      </w:r>
      <w:r w:rsidR="00471A56">
        <w:rPr>
          <w:rFonts w:ascii="Arial" w:hAnsi="Arial"/>
          <w:sz w:val="20"/>
          <w:lang w:val="en-GB"/>
        </w:rPr>
        <w:t>m</w:t>
      </w:r>
      <w:r w:rsidRPr="001E041C">
        <w:rPr>
          <w:rFonts w:ascii="Arial" w:hAnsi="Arial"/>
          <w:sz w:val="20"/>
          <w:lang w:val="en-GB"/>
        </w:rPr>
        <w:t>ember</w:t>
      </w:r>
      <w:r w:rsidR="00E35F43">
        <w:rPr>
          <w:rFonts w:ascii="Arial" w:hAnsi="Arial"/>
          <w:sz w:val="20"/>
          <w:lang w:val="en-GB"/>
        </w:rPr>
        <w:t>s</w:t>
      </w:r>
      <w:r w:rsidRPr="001E041C">
        <w:rPr>
          <w:rFonts w:ascii="Arial" w:hAnsi="Arial"/>
          <w:sz w:val="20"/>
          <w:lang w:val="en-GB"/>
        </w:rPr>
        <w:t xml:space="preserve"> of the Board. In all cases, the principle of internal </w:t>
      </w:r>
      <w:r w:rsidR="00471A56">
        <w:rPr>
          <w:rFonts w:ascii="Arial" w:hAnsi="Arial"/>
          <w:sz w:val="20"/>
          <w:lang w:val="en-GB"/>
        </w:rPr>
        <w:t>equity</w:t>
      </w:r>
      <w:r w:rsidRPr="001E041C">
        <w:rPr>
          <w:rFonts w:ascii="Arial" w:hAnsi="Arial"/>
          <w:sz w:val="20"/>
          <w:lang w:val="en-GB"/>
        </w:rPr>
        <w:t xml:space="preserve"> must be respected when determining the </w:t>
      </w:r>
      <w:r w:rsidR="00471A56">
        <w:rPr>
          <w:rFonts w:ascii="Arial" w:hAnsi="Arial"/>
          <w:sz w:val="20"/>
          <w:lang w:val="en-GB"/>
        </w:rPr>
        <w:t>manager’</w:t>
      </w:r>
      <w:r w:rsidRPr="001E041C">
        <w:rPr>
          <w:rFonts w:ascii="Arial" w:hAnsi="Arial"/>
          <w:sz w:val="20"/>
          <w:lang w:val="en-GB"/>
        </w:rPr>
        <w:t xml:space="preserve">s monthly </w:t>
      </w:r>
      <w:r w:rsidR="00471A56">
        <w:rPr>
          <w:rFonts w:ascii="Arial" w:hAnsi="Arial"/>
          <w:sz w:val="20"/>
          <w:lang w:val="en-GB"/>
        </w:rPr>
        <w:t>salary</w:t>
      </w:r>
      <w:r w:rsidRPr="001E041C">
        <w:rPr>
          <w:rFonts w:ascii="Arial" w:hAnsi="Arial"/>
          <w:sz w:val="20"/>
          <w:lang w:val="en-GB"/>
        </w:rPr>
        <w:t xml:space="preserve">, </w:t>
      </w:r>
      <w:r w:rsidR="00471A56">
        <w:rPr>
          <w:rFonts w:ascii="Arial" w:hAnsi="Arial"/>
          <w:sz w:val="20"/>
          <w:lang w:val="en-GB"/>
        </w:rPr>
        <w:t xml:space="preserve">taking into </w:t>
      </w:r>
      <w:r w:rsidRPr="001E041C">
        <w:rPr>
          <w:rFonts w:ascii="Arial" w:hAnsi="Arial"/>
          <w:sz w:val="20"/>
          <w:lang w:val="en-GB"/>
        </w:rPr>
        <w:t xml:space="preserve">account the </w:t>
      </w:r>
      <w:r w:rsidR="00471A56">
        <w:rPr>
          <w:rFonts w:ascii="Arial" w:hAnsi="Arial"/>
          <w:sz w:val="20"/>
          <w:lang w:val="en-GB"/>
        </w:rPr>
        <w:t>Job L</w:t>
      </w:r>
      <w:r w:rsidRPr="001E041C">
        <w:rPr>
          <w:rFonts w:ascii="Arial" w:hAnsi="Arial"/>
          <w:sz w:val="20"/>
          <w:lang w:val="en-GB"/>
        </w:rPr>
        <w:t xml:space="preserve">evel or activity </w:t>
      </w:r>
      <w:r w:rsidR="00471A56">
        <w:rPr>
          <w:rFonts w:ascii="Arial" w:hAnsi="Arial"/>
          <w:sz w:val="20"/>
          <w:lang w:val="en-GB"/>
        </w:rPr>
        <w:t xml:space="preserve">performed by the person where the </w:t>
      </w:r>
      <w:r w:rsidRPr="001E041C">
        <w:rPr>
          <w:rFonts w:ascii="Arial" w:hAnsi="Arial"/>
          <w:sz w:val="20"/>
          <w:lang w:val="en-GB"/>
        </w:rPr>
        <w:t xml:space="preserve">remuneration </w:t>
      </w:r>
      <w:r w:rsidR="00471A56">
        <w:rPr>
          <w:rFonts w:ascii="Arial" w:hAnsi="Arial"/>
          <w:sz w:val="20"/>
          <w:lang w:val="en-GB"/>
        </w:rPr>
        <w:t xml:space="preserve">to </w:t>
      </w:r>
      <w:r w:rsidRPr="001E041C">
        <w:rPr>
          <w:rFonts w:ascii="Arial" w:hAnsi="Arial"/>
          <w:sz w:val="20"/>
          <w:lang w:val="en-GB"/>
        </w:rPr>
        <w:t xml:space="preserve">a </w:t>
      </w:r>
      <w:r w:rsidR="00471A56">
        <w:rPr>
          <w:rFonts w:ascii="Arial" w:hAnsi="Arial"/>
          <w:sz w:val="20"/>
          <w:lang w:val="en-GB"/>
        </w:rPr>
        <w:t>member of the B</w:t>
      </w:r>
      <w:r w:rsidRPr="001E041C">
        <w:rPr>
          <w:rFonts w:ascii="Arial" w:hAnsi="Arial"/>
          <w:sz w:val="20"/>
          <w:lang w:val="en-GB"/>
        </w:rPr>
        <w:t>oard</w:t>
      </w:r>
      <w:r w:rsidR="00E35F43">
        <w:rPr>
          <w:rFonts w:ascii="Arial" w:hAnsi="Arial"/>
          <w:sz w:val="20"/>
          <w:lang w:val="en-GB"/>
        </w:rPr>
        <w:t>,</w:t>
      </w:r>
      <w:r w:rsidRPr="001E041C">
        <w:rPr>
          <w:rFonts w:ascii="Arial" w:hAnsi="Arial"/>
          <w:sz w:val="20"/>
          <w:lang w:val="en-GB"/>
        </w:rPr>
        <w:t xml:space="preserve"> who </w:t>
      </w:r>
      <w:r w:rsidR="00471A56">
        <w:rPr>
          <w:rFonts w:ascii="Arial" w:hAnsi="Arial"/>
          <w:sz w:val="20"/>
          <w:lang w:val="en-GB"/>
        </w:rPr>
        <w:t xml:space="preserve">does not have </w:t>
      </w:r>
      <w:r w:rsidRPr="001E041C">
        <w:rPr>
          <w:rFonts w:ascii="Arial" w:hAnsi="Arial"/>
          <w:sz w:val="20"/>
          <w:lang w:val="en-GB"/>
        </w:rPr>
        <w:t xml:space="preserve">employment relationship with the </w:t>
      </w:r>
      <w:r w:rsidR="00471A56">
        <w:rPr>
          <w:rFonts w:ascii="Arial" w:hAnsi="Arial"/>
          <w:sz w:val="20"/>
          <w:lang w:val="en-GB"/>
        </w:rPr>
        <w:t>Company, is determined</w:t>
      </w:r>
      <w:r w:rsidRPr="001E041C">
        <w:rPr>
          <w:rFonts w:ascii="Arial" w:hAnsi="Arial"/>
          <w:sz w:val="20"/>
          <w:lang w:val="en-GB"/>
        </w:rPr>
        <w:t>.</w:t>
      </w:r>
    </w:p>
    <w:p w14:paraId="1BD0CCF0" w14:textId="77777777" w:rsidR="00AF4460" w:rsidRPr="001E041C" w:rsidRDefault="0079658B" w:rsidP="00525567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 xml:space="preserve">The </w:t>
      </w:r>
      <w:r w:rsidR="00E35F43">
        <w:rPr>
          <w:rFonts w:ascii="Arial" w:hAnsi="Arial"/>
          <w:sz w:val="20"/>
          <w:lang w:val="en-GB"/>
        </w:rPr>
        <w:t xml:space="preserve">Executive </w:t>
      </w:r>
      <w:r w:rsidRPr="001E041C">
        <w:rPr>
          <w:rFonts w:ascii="Arial" w:hAnsi="Arial"/>
          <w:sz w:val="20"/>
          <w:lang w:val="en-GB"/>
        </w:rPr>
        <w:t xml:space="preserve">monthly </w:t>
      </w:r>
      <w:r w:rsidR="00E35F43">
        <w:rPr>
          <w:rFonts w:ascii="Arial" w:hAnsi="Arial"/>
          <w:sz w:val="20"/>
          <w:lang w:val="en-GB"/>
        </w:rPr>
        <w:t>salary</w:t>
      </w:r>
      <w:r w:rsidRPr="001E041C">
        <w:rPr>
          <w:rFonts w:ascii="Arial" w:hAnsi="Arial"/>
          <w:sz w:val="20"/>
          <w:lang w:val="en-GB"/>
        </w:rPr>
        <w:t xml:space="preserve"> </w:t>
      </w:r>
      <w:r w:rsidR="00E35F43">
        <w:rPr>
          <w:rFonts w:ascii="Arial" w:hAnsi="Arial"/>
          <w:sz w:val="20"/>
          <w:lang w:val="en-GB"/>
        </w:rPr>
        <w:t>shall be</w:t>
      </w:r>
      <w:r w:rsidRPr="001E041C">
        <w:rPr>
          <w:rFonts w:ascii="Arial" w:hAnsi="Arial"/>
          <w:sz w:val="20"/>
          <w:lang w:val="en-GB"/>
        </w:rPr>
        <w:t xml:space="preserve"> reviewed bas</w:t>
      </w:r>
      <w:r w:rsidR="00E35F43">
        <w:rPr>
          <w:rFonts w:ascii="Arial" w:hAnsi="Arial"/>
          <w:sz w:val="20"/>
          <w:lang w:val="en-GB"/>
        </w:rPr>
        <w:t>ed on</w:t>
      </w:r>
      <w:r w:rsidRPr="001E041C">
        <w:rPr>
          <w:rFonts w:ascii="Arial" w:hAnsi="Arial"/>
          <w:sz w:val="20"/>
          <w:lang w:val="en-GB"/>
        </w:rPr>
        <w:t>:</w:t>
      </w:r>
    </w:p>
    <w:p w14:paraId="3452DA72" w14:textId="77777777" w:rsidR="00761BA5" w:rsidRPr="001E041C" w:rsidRDefault="00D12803" w:rsidP="00525567">
      <w:pPr>
        <w:pStyle w:val="Header"/>
        <w:numPr>
          <w:ilvl w:val="2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 xml:space="preserve">The performance of the </w:t>
      </w:r>
      <w:r w:rsidR="00E35F43">
        <w:rPr>
          <w:rFonts w:ascii="Arial" w:hAnsi="Arial"/>
          <w:sz w:val="20"/>
          <w:lang w:val="en-GB"/>
        </w:rPr>
        <w:t>Company –</w:t>
      </w:r>
      <w:r w:rsidRPr="001E041C">
        <w:rPr>
          <w:rFonts w:ascii="Arial" w:hAnsi="Arial"/>
          <w:sz w:val="20"/>
          <w:lang w:val="en-GB"/>
        </w:rPr>
        <w:t xml:space="preserve"> the achievement of the </w:t>
      </w:r>
      <w:r w:rsidR="00E35F43">
        <w:rPr>
          <w:rFonts w:ascii="Arial" w:hAnsi="Arial"/>
          <w:sz w:val="20"/>
          <w:lang w:val="en-GB"/>
        </w:rPr>
        <w:t>Company’s</w:t>
      </w:r>
      <w:r w:rsidRPr="001E041C">
        <w:rPr>
          <w:rFonts w:ascii="Arial" w:hAnsi="Arial"/>
          <w:sz w:val="20"/>
          <w:lang w:val="en-GB"/>
        </w:rPr>
        <w:t xml:space="preserve"> annual and/or long-term objectives.</w:t>
      </w:r>
    </w:p>
    <w:p w14:paraId="69931749" w14:textId="77777777" w:rsidR="00404BB0" w:rsidRPr="001E041C" w:rsidRDefault="00AF4460" w:rsidP="004A387E">
      <w:pPr>
        <w:pStyle w:val="Header"/>
        <w:numPr>
          <w:ilvl w:val="2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>The budget</w:t>
      </w:r>
      <w:r w:rsidR="00E35F43">
        <w:rPr>
          <w:rFonts w:ascii="Arial" w:hAnsi="Arial"/>
          <w:sz w:val="20"/>
          <w:lang w:val="en-GB"/>
        </w:rPr>
        <w:t xml:space="preserve"> for </w:t>
      </w:r>
      <w:r w:rsidR="00E35F43" w:rsidRPr="001E041C">
        <w:rPr>
          <w:rFonts w:ascii="Arial" w:hAnsi="Arial"/>
          <w:sz w:val="20"/>
          <w:lang w:val="en-GB"/>
        </w:rPr>
        <w:t>remuneration</w:t>
      </w:r>
      <w:r w:rsidRPr="001E041C">
        <w:rPr>
          <w:rFonts w:ascii="Arial" w:hAnsi="Arial"/>
          <w:sz w:val="20"/>
          <w:lang w:val="en-GB"/>
        </w:rPr>
        <w:t xml:space="preserve"> approved by the </w:t>
      </w:r>
      <w:r w:rsidR="00E35F43">
        <w:rPr>
          <w:rFonts w:ascii="Arial" w:hAnsi="Arial"/>
          <w:sz w:val="20"/>
          <w:lang w:val="en-GB"/>
        </w:rPr>
        <w:t>C</w:t>
      </w:r>
      <w:r w:rsidRPr="001E041C">
        <w:rPr>
          <w:rFonts w:ascii="Arial" w:hAnsi="Arial"/>
          <w:sz w:val="20"/>
          <w:lang w:val="en-GB"/>
        </w:rPr>
        <w:t>ompany.</w:t>
      </w:r>
    </w:p>
    <w:p w14:paraId="4AF13D7C" w14:textId="77777777" w:rsidR="00D34537" w:rsidRPr="001E041C" w:rsidRDefault="00105BED" w:rsidP="00105BED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 xml:space="preserve">The decision </w:t>
      </w:r>
      <w:r w:rsidR="003D1490">
        <w:rPr>
          <w:rFonts w:ascii="Arial" w:hAnsi="Arial"/>
          <w:sz w:val="20"/>
          <w:lang w:val="en-GB"/>
        </w:rPr>
        <w:t xml:space="preserve">regarding </w:t>
      </w:r>
      <w:r w:rsidRPr="001E041C">
        <w:rPr>
          <w:rFonts w:ascii="Arial" w:hAnsi="Arial"/>
          <w:sz w:val="20"/>
          <w:lang w:val="en-GB"/>
        </w:rPr>
        <w:t xml:space="preserve">the review of the remuneration </w:t>
      </w:r>
      <w:r w:rsidR="003D1490">
        <w:rPr>
          <w:rFonts w:ascii="Arial" w:hAnsi="Arial"/>
          <w:sz w:val="20"/>
          <w:lang w:val="en-GB"/>
        </w:rPr>
        <w:t xml:space="preserve">to the </w:t>
      </w:r>
      <w:r w:rsidR="00311A97">
        <w:rPr>
          <w:rFonts w:ascii="Arial" w:hAnsi="Arial"/>
          <w:sz w:val="20"/>
          <w:lang w:val="en-GB"/>
        </w:rPr>
        <w:t>general manager</w:t>
      </w:r>
      <w:r w:rsidR="003D1490">
        <w:rPr>
          <w:rFonts w:ascii="Arial" w:hAnsi="Arial"/>
          <w:sz w:val="20"/>
          <w:lang w:val="en-GB"/>
        </w:rPr>
        <w:t xml:space="preserve"> of the Company </w:t>
      </w:r>
      <w:r w:rsidRPr="001E041C">
        <w:rPr>
          <w:rFonts w:ascii="Arial" w:hAnsi="Arial"/>
          <w:sz w:val="20"/>
          <w:lang w:val="en-GB"/>
        </w:rPr>
        <w:t>shall be taken by the Board</w:t>
      </w:r>
      <w:r w:rsidR="003D1490">
        <w:rPr>
          <w:rFonts w:ascii="Arial" w:hAnsi="Arial"/>
          <w:sz w:val="20"/>
          <w:lang w:val="en-GB"/>
        </w:rPr>
        <w:t xml:space="preserve"> of the Company</w:t>
      </w:r>
      <w:r w:rsidRPr="001E041C">
        <w:rPr>
          <w:rFonts w:ascii="Arial" w:hAnsi="Arial"/>
          <w:sz w:val="20"/>
          <w:lang w:val="en-GB"/>
        </w:rPr>
        <w:t xml:space="preserve"> and </w:t>
      </w:r>
      <w:r w:rsidR="003D1490">
        <w:rPr>
          <w:rFonts w:ascii="Arial" w:hAnsi="Arial"/>
          <w:sz w:val="20"/>
          <w:lang w:val="en-GB"/>
        </w:rPr>
        <w:t xml:space="preserve">the </w:t>
      </w:r>
      <w:r w:rsidR="003D1490" w:rsidRPr="001E041C">
        <w:rPr>
          <w:rFonts w:ascii="Arial" w:hAnsi="Arial"/>
          <w:sz w:val="20"/>
          <w:lang w:val="en-GB"/>
        </w:rPr>
        <w:t xml:space="preserve">decision </w:t>
      </w:r>
      <w:r w:rsidR="003D1490">
        <w:rPr>
          <w:rFonts w:ascii="Arial" w:hAnsi="Arial"/>
          <w:sz w:val="20"/>
          <w:lang w:val="en-GB"/>
        </w:rPr>
        <w:t xml:space="preserve">regarding </w:t>
      </w:r>
      <w:r w:rsidR="003D1490" w:rsidRPr="001E041C">
        <w:rPr>
          <w:rFonts w:ascii="Arial" w:hAnsi="Arial"/>
          <w:sz w:val="20"/>
          <w:lang w:val="en-GB"/>
        </w:rPr>
        <w:t xml:space="preserve">the review of the remuneration </w:t>
      </w:r>
      <w:r w:rsidR="003D1490">
        <w:rPr>
          <w:rFonts w:ascii="Arial" w:hAnsi="Arial"/>
          <w:sz w:val="20"/>
          <w:lang w:val="en-GB"/>
        </w:rPr>
        <w:t xml:space="preserve">to </w:t>
      </w:r>
      <w:r w:rsidRPr="001E041C">
        <w:rPr>
          <w:rFonts w:ascii="Arial" w:hAnsi="Arial"/>
          <w:sz w:val="20"/>
          <w:lang w:val="en-GB"/>
        </w:rPr>
        <w:t xml:space="preserve">the members of the Board </w:t>
      </w:r>
      <w:r w:rsidR="003D1490" w:rsidRPr="001E041C">
        <w:rPr>
          <w:rFonts w:ascii="Arial" w:hAnsi="Arial"/>
          <w:sz w:val="20"/>
          <w:lang w:val="en-GB"/>
        </w:rPr>
        <w:t xml:space="preserve">shall be taken by the </w:t>
      </w:r>
      <w:r w:rsidRPr="001E041C">
        <w:rPr>
          <w:rFonts w:ascii="Arial" w:hAnsi="Arial"/>
          <w:sz w:val="20"/>
          <w:lang w:val="en-GB"/>
        </w:rPr>
        <w:t xml:space="preserve">General </w:t>
      </w:r>
      <w:r w:rsidR="003D1490">
        <w:rPr>
          <w:rFonts w:ascii="Arial" w:hAnsi="Arial"/>
          <w:sz w:val="20"/>
          <w:lang w:val="en-GB"/>
        </w:rPr>
        <w:t>M</w:t>
      </w:r>
      <w:r w:rsidRPr="001E041C">
        <w:rPr>
          <w:rFonts w:ascii="Arial" w:hAnsi="Arial"/>
          <w:sz w:val="20"/>
          <w:lang w:val="en-GB"/>
        </w:rPr>
        <w:t>eeting of Shareholders.</w:t>
      </w:r>
    </w:p>
    <w:p w14:paraId="23D0A274" w14:textId="77777777" w:rsidR="004537DB" w:rsidRPr="001E041C" w:rsidRDefault="004537DB" w:rsidP="004537DB">
      <w:pPr>
        <w:pStyle w:val="Header"/>
        <w:tabs>
          <w:tab w:val="clear" w:pos="4153"/>
          <w:tab w:val="clear" w:pos="8306"/>
        </w:tabs>
        <w:spacing w:before="120" w:after="120"/>
        <w:ind w:left="792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15F4FEE8" w14:textId="77777777" w:rsidR="00761BA5" w:rsidRPr="001E041C" w:rsidRDefault="00990619" w:rsidP="00EC2119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ANNUAL VARIABLE </w:t>
      </w:r>
      <w:r w:rsidR="00EF7BE8">
        <w:rPr>
          <w:rFonts w:ascii="Arial" w:hAnsi="Arial"/>
          <w:b/>
          <w:sz w:val="20"/>
          <w:lang w:val="en-GB"/>
        </w:rPr>
        <w:t xml:space="preserve">PART OF </w:t>
      </w:r>
      <w:r>
        <w:rPr>
          <w:rFonts w:ascii="Arial" w:hAnsi="Arial"/>
          <w:b/>
          <w:sz w:val="20"/>
          <w:lang w:val="en-GB"/>
        </w:rPr>
        <w:t>REMUNERATION</w:t>
      </w:r>
    </w:p>
    <w:p w14:paraId="72E3B7AF" w14:textId="77777777" w:rsidR="006D521C" w:rsidRPr="001E041C" w:rsidRDefault="00251C9E" w:rsidP="00EC2119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lastRenderedPageBreak/>
        <w:t xml:space="preserve">The annual </w:t>
      </w:r>
      <w:r w:rsidR="00EF7BE8">
        <w:rPr>
          <w:rFonts w:ascii="Arial" w:hAnsi="Arial"/>
          <w:sz w:val="20"/>
          <w:lang w:val="en-GB"/>
        </w:rPr>
        <w:t xml:space="preserve">Variable Part </w:t>
      </w:r>
      <w:r w:rsidR="00BC7CF2">
        <w:rPr>
          <w:rFonts w:ascii="Arial" w:hAnsi="Arial"/>
          <w:sz w:val="20"/>
          <w:lang w:val="en-GB"/>
        </w:rPr>
        <w:t xml:space="preserve">of remuneration </w:t>
      </w:r>
      <w:r w:rsidR="00EF7BE8">
        <w:rPr>
          <w:rFonts w:ascii="Arial" w:hAnsi="Arial"/>
          <w:sz w:val="20"/>
          <w:lang w:val="en-GB"/>
        </w:rPr>
        <w:t xml:space="preserve">encourages to achieve the Company’s </w:t>
      </w:r>
      <w:r w:rsidRPr="001E041C">
        <w:rPr>
          <w:rFonts w:ascii="Arial" w:hAnsi="Arial"/>
          <w:sz w:val="20"/>
          <w:lang w:val="en-GB"/>
        </w:rPr>
        <w:t xml:space="preserve">annual and long-term objectives. </w:t>
      </w:r>
    </w:p>
    <w:p w14:paraId="250AB7A0" w14:textId="77777777" w:rsidR="00720197" w:rsidRPr="001E041C" w:rsidRDefault="00527F09" w:rsidP="00720197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 xml:space="preserve">The Board, in the presence of the </w:t>
      </w:r>
      <w:r w:rsidR="00EF7BE8">
        <w:rPr>
          <w:rFonts w:ascii="Arial" w:hAnsi="Arial"/>
          <w:sz w:val="20"/>
          <w:lang w:val="en-GB"/>
        </w:rPr>
        <w:t>g</w:t>
      </w:r>
      <w:r w:rsidRPr="001E041C">
        <w:rPr>
          <w:rFonts w:ascii="Arial" w:hAnsi="Arial"/>
          <w:sz w:val="20"/>
          <w:lang w:val="en-GB"/>
        </w:rPr>
        <w:t>eneral</w:t>
      </w:r>
      <w:r w:rsidR="00EF7BE8">
        <w:rPr>
          <w:rFonts w:ascii="Arial" w:hAnsi="Arial"/>
          <w:sz w:val="20"/>
          <w:lang w:val="en-GB"/>
        </w:rPr>
        <w:t xml:space="preserve"> manager,</w:t>
      </w:r>
      <w:r w:rsidRPr="001E041C">
        <w:rPr>
          <w:rFonts w:ascii="Arial" w:hAnsi="Arial"/>
          <w:sz w:val="20"/>
          <w:lang w:val="en-GB"/>
        </w:rPr>
        <w:t xml:space="preserve"> shall set the objectives for the </w:t>
      </w:r>
      <w:r w:rsidR="00EF7BE8">
        <w:rPr>
          <w:rFonts w:ascii="Arial" w:hAnsi="Arial"/>
          <w:sz w:val="20"/>
          <w:lang w:val="en-GB"/>
        </w:rPr>
        <w:t>g</w:t>
      </w:r>
      <w:r w:rsidR="00EF7BE8" w:rsidRPr="001E041C">
        <w:rPr>
          <w:rFonts w:ascii="Arial" w:hAnsi="Arial"/>
          <w:sz w:val="20"/>
          <w:lang w:val="en-GB"/>
        </w:rPr>
        <w:t>eneral</w:t>
      </w:r>
      <w:r w:rsidR="00EF7BE8">
        <w:rPr>
          <w:rFonts w:ascii="Arial" w:hAnsi="Arial"/>
          <w:sz w:val="20"/>
          <w:lang w:val="en-GB"/>
        </w:rPr>
        <w:t xml:space="preserve"> manager</w:t>
      </w:r>
      <w:r w:rsidRPr="001E041C">
        <w:rPr>
          <w:rFonts w:ascii="Arial" w:hAnsi="Arial"/>
          <w:sz w:val="20"/>
          <w:lang w:val="en-GB"/>
        </w:rPr>
        <w:t xml:space="preserve">, define the expected </w:t>
      </w:r>
      <w:r w:rsidR="00EF7BE8">
        <w:rPr>
          <w:rFonts w:ascii="Arial" w:hAnsi="Arial"/>
          <w:sz w:val="20"/>
          <w:lang w:val="en-GB"/>
        </w:rPr>
        <w:t>results</w:t>
      </w:r>
      <w:r w:rsidRPr="001E041C">
        <w:rPr>
          <w:rFonts w:ascii="Arial" w:hAnsi="Arial"/>
          <w:sz w:val="20"/>
          <w:lang w:val="en-GB"/>
        </w:rPr>
        <w:t xml:space="preserve"> and the evaluation principles, i.e. </w:t>
      </w:r>
      <w:r w:rsidR="00EF7BE8">
        <w:rPr>
          <w:rFonts w:ascii="Arial" w:hAnsi="Arial"/>
          <w:sz w:val="20"/>
          <w:lang w:val="en-GB"/>
        </w:rPr>
        <w:t xml:space="preserve">the Board </w:t>
      </w:r>
      <w:r w:rsidR="00D5286F">
        <w:rPr>
          <w:rFonts w:ascii="Arial" w:hAnsi="Arial"/>
          <w:sz w:val="20"/>
          <w:lang w:val="en-GB"/>
        </w:rPr>
        <w:t>shall approve</w:t>
      </w:r>
      <w:r w:rsidR="00EF7BE8">
        <w:rPr>
          <w:rFonts w:ascii="Arial" w:hAnsi="Arial"/>
          <w:sz w:val="20"/>
          <w:lang w:val="en-GB"/>
        </w:rPr>
        <w:t xml:space="preserve"> </w:t>
      </w:r>
      <w:r w:rsidRPr="001E041C">
        <w:rPr>
          <w:rFonts w:ascii="Arial" w:hAnsi="Arial"/>
          <w:sz w:val="20"/>
          <w:lang w:val="en-GB"/>
        </w:rPr>
        <w:t>the objectives</w:t>
      </w:r>
      <w:r w:rsidR="00D5286F">
        <w:rPr>
          <w:rFonts w:ascii="Arial" w:hAnsi="Arial"/>
          <w:sz w:val="20"/>
          <w:lang w:val="en-GB"/>
        </w:rPr>
        <w:t>,</w:t>
      </w:r>
      <w:r w:rsidR="00EF7BE8">
        <w:rPr>
          <w:rFonts w:ascii="Arial" w:hAnsi="Arial"/>
          <w:sz w:val="20"/>
          <w:lang w:val="en-GB"/>
        </w:rPr>
        <w:t xml:space="preserve"> and</w:t>
      </w:r>
      <w:r w:rsidRPr="001E041C">
        <w:rPr>
          <w:rFonts w:ascii="Arial" w:hAnsi="Arial"/>
          <w:sz w:val="20"/>
          <w:lang w:val="en-GB"/>
        </w:rPr>
        <w:t xml:space="preserve"> weights and indicators</w:t>
      </w:r>
      <w:r w:rsidR="00EF7BE8">
        <w:rPr>
          <w:rFonts w:ascii="Arial" w:hAnsi="Arial"/>
          <w:sz w:val="20"/>
          <w:lang w:val="en-GB"/>
        </w:rPr>
        <w:t xml:space="preserve"> of the objectives</w:t>
      </w:r>
      <w:r w:rsidRPr="001E041C">
        <w:rPr>
          <w:rFonts w:ascii="Arial" w:hAnsi="Arial"/>
          <w:sz w:val="20"/>
          <w:lang w:val="en-GB"/>
        </w:rPr>
        <w:t xml:space="preserve">. </w:t>
      </w:r>
    </w:p>
    <w:p w14:paraId="27334321" w14:textId="77777777" w:rsidR="000F1731" w:rsidRPr="001E041C" w:rsidRDefault="00904428" w:rsidP="000F1731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>T</w:t>
      </w:r>
      <w:r w:rsidR="00054A0C">
        <w:rPr>
          <w:rFonts w:ascii="Arial" w:hAnsi="Arial"/>
          <w:sz w:val="20"/>
          <w:lang w:val="en-GB"/>
        </w:rPr>
        <w:t xml:space="preserve">he Variable Part shall not be </w:t>
      </w:r>
      <w:r w:rsidRPr="001E041C">
        <w:rPr>
          <w:rFonts w:ascii="Arial" w:hAnsi="Arial"/>
          <w:sz w:val="20"/>
          <w:lang w:val="en-GB"/>
        </w:rPr>
        <w:t xml:space="preserve">allocated </w:t>
      </w:r>
      <w:r w:rsidR="00054A0C">
        <w:rPr>
          <w:rFonts w:ascii="Arial" w:hAnsi="Arial"/>
          <w:sz w:val="20"/>
          <w:lang w:val="en-GB"/>
        </w:rPr>
        <w:t>or</w:t>
      </w:r>
      <w:r w:rsidRPr="001E041C">
        <w:rPr>
          <w:rFonts w:ascii="Arial" w:hAnsi="Arial"/>
          <w:sz w:val="20"/>
          <w:lang w:val="en-GB"/>
        </w:rPr>
        <w:t xml:space="preserve"> paid to the members of the Board. This rule does not </w:t>
      </w:r>
      <w:r w:rsidR="00054A0C">
        <w:rPr>
          <w:rFonts w:ascii="Arial" w:hAnsi="Arial"/>
          <w:sz w:val="20"/>
          <w:lang w:val="en-GB"/>
        </w:rPr>
        <w:t>prevent the</w:t>
      </w:r>
      <w:r w:rsidRPr="001E041C">
        <w:rPr>
          <w:rFonts w:ascii="Arial" w:hAnsi="Arial"/>
          <w:sz w:val="20"/>
          <w:lang w:val="en-GB"/>
        </w:rPr>
        <w:t xml:space="preserve"> </w:t>
      </w:r>
      <w:r w:rsidR="00054A0C">
        <w:rPr>
          <w:rFonts w:ascii="Arial" w:hAnsi="Arial"/>
          <w:sz w:val="20"/>
          <w:lang w:val="en-GB"/>
        </w:rPr>
        <w:t>member of the B</w:t>
      </w:r>
      <w:r w:rsidRPr="001E041C">
        <w:rPr>
          <w:rFonts w:ascii="Arial" w:hAnsi="Arial"/>
          <w:sz w:val="20"/>
          <w:lang w:val="en-GB"/>
        </w:rPr>
        <w:t xml:space="preserve">oard </w:t>
      </w:r>
      <w:r w:rsidR="00054A0C">
        <w:rPr>
          <w:rFonts w:ascii="Arial" w:hAnsi="Arial"/>
          <w:sz w:val="20"/>
          <w:lang w:val="en-GB"/>
        </w:rPr>
        <w:t>of the C</w:t>
      </w:r>
      <w:r w:rsidRPr="001E041C">
        <w:rPr>
          <w:rFonts w:ascii="Arial" w:hAnsi="Arial"/>
          <w:sz w:val="20"/>
          <w:lang w:val="en-GB"/>
        </w:rPr>
        <w:t>ompany or</w:t>
      </w:r>
      <w:r w:rsidR="00054A0C">
        <w:rPr>
          <w:rFonts w:ascii="Arial" w:hAnsi="Arial"/>
          <w:sz w:val="20"/>
          <w:lang w:val="en-GB"/>
        </w:rPr>
        <w:t xml:space="preserve"> of the affiliated company </w:t>
      </w:r>
      <w:r w:rsidRPr="001E041C">
        <w:rPr>
          <w:rFonts w:ascii="Arial" w:hAnsi="Arial"/>
          <w:sz w:val="20"/>
          <w:lang w:val="en-GB"/>
        </w:rPr>
        <w:t xml:space="preserve">to </w:t>
      </w:r>
      <w:r w:rsidR="00054A0C">
        <w:rPr>
          <w:rFonts w:ascii="Arial" w:hAnsi="Arial"/>
          <w:sz w:val="20"/>
          <w:lang w:val="en-GB"/>
        </w:rPr>
        <w:t>receive the V</w:t>
      </w:r>
      <w:r w:rsidRPr="001E041C">
        <w:rPr>
          <w:rFonts w:ascii="Arial" w:hAnsi="Arial"/>
          <w:sz w:val="20"/>
          <w:lang w:val="en-GB"/>
        </w:rPr>
        <w:t xml:space="preserve">ariable </w:t>
      </w:r>
      <w:r w:rsidR="00054A0C">
        <w:rPr>
          <w:rFonts w:ascii="Arial" w:hAnsi="Arial"/>
          <w:sz w:val="20"/>
          <w:lang w:val="en-GB"/>
        </w:rPr>
        <w:t>Part</w:t>
      </w:r>
      <w:r w:rsidRPr="001E041C">
        <w:rPr>
          <w:rFonts w:ascii="Arial" w:hAnsi="Arial"/>
          <w:sz w:val="20"/>
          <w:lang w:val="en-GB"/>
        </w:rPr>
        <w:t xml:space="preserve"> for work </w:t>
      </w:r>
      <w:r w:rsidR="00054A0C">
        <w:rPr>
          <w:rFonts w:ascii="Arial" w:hAnsi="Arial"/>
          <w:sz w:val="20"/>
          <w:lang w:val="en-GB"/>
        </w:rPr>
        <w:t xml:space="preserve">under the </w:t>
      </w:r>
      <w:r w:rsidRPr="001E041C">
        <w:rPr>
          <w:rFonts w:ascii="Arial" w:hAnsi="Arial"/>
          <w:sz w:val="20"/>
          <w:lang w:val="en-GB"/>
        </w:rPr>
        <w:t>employ</w:t>
      </w:r>
      <w:r w:rsidR="00054A0C">
        <w:rPr>
          <w:rFonts w:ascii="Arial" w:hAnsi="Arial"/>
          <w:sz w:val="20"/>
          <w:lang w:val="en-GB"/>
        </w:rPr>
        <w:t>ment contract</w:t>
      </w:r>
      <w:r w:rsidR="00054A0C" w:rsidRPr="00054A0C">
        <w:rPr>
          <w:rFonts w:ascii="Arial" w:hAnsi="Arial"/>
          <w:sz w:val="20"/>
          <w:lang w:val="en-GB"/>
        </w:rPr>
        <w:t xml:space="preserve"> </w:t>
      </w:r>
      <w:r w:rsidR="00054A0C" w:rsidRPr="001E041C">
        <w:rPr>
          <w:rFonts w:ascii="Arial" w:hAnsi="Arial"/>
          <w:sz w:val="20"/>
          <w:lang w:val="en-GB"/>
        </w:rPr>
        <w:t>under the SBA</w:t>
      </w:r>
      <w:r w:rsidR="00054A0C">
        <w:rPr>
          <w:rFonts w:ascii="Arial" w:hAnsi="Arial"/>
          <w:sz w:val="20"/>
          <w:lang w:val="en-GB"/>
        </w:rPr>
        <w:t xml:space="preserve"> G</w:t>
      </w:r>
      <w:r w:rsidR="00054A0C" w:rsidRPr="001E041C">
        <w:rPr>
          <w:rFonts w:ascii="Arial" w:hAnsi="Arial"/>
          <w:sz w:val="20"/>
          <w:lang w:val="en-GB"/>
        </w:rPr>
        <w:t>roup</w:t>
      </w:r>
      <w:r w:rsidR="00054A0C" w:rsidRPr="00054A0C">
        <w:rPr>
          <w:rFonts w:ascii="Arial" w:hAnsi="Arial"/>
          <w:sz w:val="20"/>
          <w:lang w:val="en-GB"/>
        </w:rPr>
        <w:t xml:space="preserve"> </w:t>
      </w:r>
      <w:r w:rsidR="00054A0C">
        <w:rPr>
          <w:rFonts w:ascii="Arial" w:hAnsi="Arial"/>
          <w:sz w:val="20"/>
          <w:lang w:val="en-GB"/>
        </w:rPr>
        <w:t>remuneration policy</w:t>
      </w:r>
      <w:r w:rsidRPr="001E041C">
        <w:rPr>
          <w:rFonts w:ascii="Arial" w:hAnsi="Arial"/>
          <w:sz w:val="20"/>
          <w:lang w:val="en-GB"/>
        </w:rPr>
        <w:t>.</w:t>
      </w:r>
    </w:p>
    <w:p w14:paraId="74A2FFD5" w14:textId="77777777" w:rsidR="00720197" w:rsidRPr="001E041C" w:rsidRDefault="004537DB" w:rsidP="00014044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 xml:space="preserve">The </w:t>
      </w:r>
      <w:r w:rsidR="00662D5D">
        <w:rPr>
          <w:rFonts w:ascii="Arial" w:hAnsi="Arial"/>
          <w:sz w:val="20"/>
          <w:lang w:val="en-GB"/>
        </w:rPr>
        <w:t xml:space="preserve">Board of the Company shall approve the </w:t>
      </w:r>
      <w:r w:rsidRPr="001E041C">
        <w:rPr>
          <w:rFonts w:ascii="Arial" w:hAnsi="Arial"/>
          <w:sz w:val="20"/>
          <w:lang w:val="en-GB"/>
        </w:rPr>
        <w:t xml:space="preserve">objectives, </w:t>
      </w:r>
      <w:r w:rsidR="00662D5D">
        <w:rPr>
          <w:rFonts w:ascii="Arial" w:hAnsi="Arial"/>
          <w:sz w:val="20"/>
          <w:lang w:val="en-GB"/>
        </w:rPr>
        <w:t>and</w:t>
      </w:r>
      <w:r w:rsidR="00662D5D" w:rsidRPr="001E041C">
        <w:rPr>
          <w:rFonts w:ascii="Arial" w:hAnsi="Arial"/>
          <w:sz w:val="20"/>
          <w:lang w:val="en-GB"/>
        </w:rPr>
        <w:t xml:space="preserve"> weights and indicators</w:t>
      </w:r>
      <w:r w:rsidR="00662D5D">
        <w:rPr>
          <w:rFonts w:ascii="Arial" w:hAnsi="Arial"/>
          <w:sz w:val="20"/>
          <w:lang w:val="en-GB"/>
        </w:rPr>
        <w:t xml:space="preserve"> of the objectives</w:t>
      </w:r>
      <w:r w:rsidRPr="001E041C">
        <w:rPr>
          <w:rFonts w:ascii="Arial" w:hAnsi="Arial"/>
          <w:sz w:val="20"/>
          <w:lang w:val="en-GB"/>
        </w:rPr>
        <w:t xml:space="preserve">. The </w:t>
      </w:r>
      <w:r w:rsidR="00662D5D">
        <w:rPr>
          <w:rFonts w:ascii="Arial" w:hAnsi="Arial"/>
          <w:sz w:val="20"/>
          <w:lang w:val="en-GB"/>
        </w:rPr>
        <w:t>following objectives may be set</w:t>
      </w:r>
      <w:r w:rsidRPr="001E041C">
        <w:rPr>
          <w:rFonts w:ascii="Arial" w:hAnsi="Arial"/>
          <w:sz w:val="20"/>
          <w:lang w:val="en-GB"/>
        </w:rPr>
        <w:t>:</w:t>
      </w:r>
    </w:p>
    <w:p w14:paraId="2C3D8D16" w14:textId="77777777" w:rsidR="0079658B" w:rsidRPr="001E041C" w:rsidRDefault="00777D52" w:rsidP="0079658B">
      <w:pPr>
        <w:pStyle w:val="Header"/>
        <w:numPr>
          <w:ilvl w:val="2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>financial;</w:t>
      </w:r>
    </w:p>
    <w:p w14:paraId="505A3E76" w14:textId="77777777" w:rsidR="00777D52" w:rsidRPr="001E041C" w:rsidRDefault="00E271DF" w:rsidP="0079658B">
      <w:pPr>
        <w:pStyle w:val="Header"/>
        <w:numPr>
          <w:ilvl w:val="2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>operational;</w:t>
      </w:r>
    </w:p>
    <w:p w14:paraId="311B1AEC" w14:textId="77777777" w:rsidR="0060720A" w:rsidRPr="001E041C" w:rsidRDefault="0060720A" w:rsidP="0079658B">
      <w:pPr>
        <w:pStyle w:val="Header"/>
        <w:numPr>
          <w:ilvl w:val="2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>manufacturing;</w:t>
      </w:r>
    </w:p>
    <w:p w14:paraId="77E49258" w14:textId="77777777" w:rsidR="0060720A" w:rsidRPr="001E041C" w:rsidRDefault="0060720A" w:rsidP="0079658B">
      <w:pPr>
        <w:pStyle w:val="Header"/>
        <w:numPr>
          <w:ilvl w:val="2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>qualitative;</w:t>
      </w:r>
    </w:p>
    <w:p w14:paraId="16CF262B" w14:textId="77777777" w:rsidR="000123D1" w:rsidRPr="001E041C" w:rsidRDefault="000123D1" w:rsidP="000123D1">
      <w:pPr>
        <w:pStyle w:val="Header"/>
        <w:numPr>
          <w:ilvl w:val="2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>other</w:t>
      </w:r>
    </w:p>
    <w:p w14:paraId="23F7FE30" w14:textId="77777777" w:rsidR="0059575C" w:rsidRPr="001E041C" w:rsidRDefault="00D5286F" w:rsidP="00A650E5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before="120" w:after="120"/>
        <w:ind w:left="788" w:hanging="431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/>
          <w:sz w:val="20"/>
          <w:lang w:val="en-GB"/>
        </w:rPr>
        <w:t>The</w:t>
      </w:r>
      <w:r w:rsidR="00251C9E" w:rsidRPr="001E041C">
        <w:rPr>
          <w:rFonts w:ascii="Arial" w:hAnsi="Arial"/>
          <w:sz w:val="20"/>
          <w:lang w:val="en-GB"/>
        </w:rPr>
        <w:t xml:space="preserve"> annual </w:t>
      </w:r>
      <w:r w:rsidR="00662D5D">
        <w:rPr>
          <w:rFonts w:ascii="Arial" w:hAnsi="Arial"/>
          <w:sz w:val="20"/>
          <w:lang w:val="en-GB"/>
        </w:rPr>
        <w:t xml:space="preserve">Variable Part paid to the </w:t>
      </w:r>
      <w:r w:rsidR="00311A97">
        <w:rPr>
          <w:rFonts w:ascii="Arial" w:hAnsi="Arial"/>
          <w:sz w:val="20"/>
          <w:lang w:val="en-GB"/>
        </w:rPr>
        <w:t>general manager</w:t>
      </w:r>
      <w:r w:rsidR="00251C9E" w:rsidRPr="001E041C">
        <w:rPr>
          <w:rFonts w:ascii="Arial" w:hAnsi="Arial"/>
          <w:sz w:val="20"/>
          <w:lang w:val="en-GB"/>
        </w:rPr>
        <w:t xml:space="preserve"> shall be calculated whe</w:t>
      </w:r>
      <w:r w:rsidR="00662D5D">
        <w:rPr>
          <w:rFonts w:ascii="Arial" w:hAnsi="Arial"/>
          <w:sz w:val="20"/>
          <w:lang w:val="en-GB"/>
        </w:rPr>
        <w:t>re</w:t>
      </w:r>
      <w:r w:rsidR="00251C9E" w:rsidRPr="001E041C">
        <w:rPr>
          <w:rFonts w:ascii="Arial" w:hAnsi="Arial"/>
          <w:sz w:val="20"/>
          <w:lang w:val="en-GB"/>
        </w:rPr>
        <w:t xml:space="preserve"> </w:t>
      </w:r>
      <w:r w:rsidR="00662D5D">
        <w:rPr>
          <w:rFonts w:ascii="Arial" w:hAnsi="Arial"/>
          <w:sz w:val="20"/>
          <w:lang w:val="en-GB"/>
        </w:rPr>
        <w:t xml:space="preserve">not less than </w:t>
      </w:r>
      <w:r w:rsidR="00662D5D" w:rsidRPr="001E041C">
        <w:rPr>
          <w:rFonts w:ascii="Arial" w:hAnsi="Arial"/>
          <w:sz w:val="20"/>
          <w:lang w:val="en-GB"/>
        </w:rPr>
        <w:t xml:space="preserve">100% </w:t>
      </w:r>
      <w:r w:rsidR="00662D5D">
        <w:rPr>
          <w:rFonts w:ascii="Arial" w:hAnsi="Arial"/>
          <w:sz w:val="20"/>
          <w:lang w:val="en-GB"/>
        </w:rPr>
        <w:t xml:space="preserve">of the Company’s objectives have been </w:t>
      </w:r>
      <w:r w:rsidR="00251C9E" w:rsidRPr="001E041C">
        <w:rPr>
          <w:rFonts w:ascii="Arial" w:hAnsi="Arial"/>
          <w:sz w:val="20"/>
          <w:lang w:val="en-GB"/>
        </w:rPr>
        <w:t>achieve</w:t>
      </w:r>
      <w:r w:rsidR="00662D5D">
        <w:rPr>
          <w:rFonts w:ascii="Arial" w:hAnsi="Arial"/>
          <w:sz w:val="20"/>
          <w:lang w:val="en-GB"/>
        </w:rPr>
        <w:t>d.</w:t>
      </w:r>
    </w:p>
    <w:p w14:paraId="7BDF449C" w14:textId="77777777" w:rsidR="00F30EF5" w:rsidRPr="001E041C" w:rsidRDefault="00662D5D" w:rsidP="00A650E5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before="120" w:after="120"/>
        <w:ind w:left="788" w:hanging="431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 xml:space="preserve">The </w:t>
      </w:r>
      <w:r>
        <w:rPr>
          <w:rFonts w:ascii="Arial" w:hAnsi="Arial"/>
          <w:sz w:val="20"/>
          <w:lang w:val="en-GB"/>
        </w:rPr>
        <w:t>Board of the Company shall determine the amount of the annual Variable Part</w:t>
      </w:r>
      <w:r w:rsidR="00ED2319" w:rsidRPr="001E041C">
        <w:rPr>
          <w:rFonts w:ascii="Arial" w:hAnsi="Arial"/>
          <w:sz w:val="20"/>
          <w:lang w:val="en-GB"/>
        </w:rPr>
        <w:t xml:space="preserve">. </w:t>
      </w:r>
    </w:p>
    <w:p w14:paraId="3F581852" w14:textId="77777777" w:rsidR="00F81983" w:rsidRPr="001E041C" w:rsidRDefault="00662D5D" w:rsidP="00A650E5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before="120" w:after="120"/>
        <w:ind w:left="788" w:hanging="431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/>
          <w:sz w:val="20"/>
          <w:lang w:val="en-GB"/>
        </w:rPr>
        <w:t>The</w:t>
      </w:r>
      <w:r w:rsidRPr="001E041C">
        <w:rPr>
          <w:rFonts w:ascii="Arial" w:hAnsi="Arial"/>
          <w:sz w:val="20"/>
          <w:lang w:val="en-GB"/>
        </w:rPr>
        <w:t xml:space="preserve"> annual </w:t>
      </w:r>
      <w:r>
        <w:rPr>
          <w:rFonts w:ascii="Arial" w:hAnsi="Arial"/>
          <w:sz w:val="20"/>
          <w:lang w:val="en-GB"/>
        </w:rPr>
        <w:t xml:space="preserve">Variable Part </w:t>
      </w:r>
      <w:r w:rsidRPr="001E041C">
        <w:rPr>
          <w:rFonts w:ascii="Arial" w:hAnsi="Arial"/>
          <w:sz w:val="20"/>
          <w:lang w:val="en-GB"/>
        </w:rPr>
        <w:t xml:space="preserve">shall </w:t>
      </w:r>
      <w:r>
        <w:rPr>
          <w:rFonts w:ascii="Arial" w:hAnsi="Arial"/>
          <w:sz w:val="20"/>
          <w:lang w:val="en-GB"/>
        </w:rPr>
        <w:t>not be higher than 75</w:t>
      </w:r>
      <w:r w:rsidRPr="001E041C">
        <w:rPr>
          <w:rFonts w:ascii="Arial" w:hAnsi="Arial"/>
          <w:sz w:val="20"/>
          <w:lang w:val="en-GB"/>
        </w:rPr>
        <w:t>%</w:t>
      </w:r>
      <w:r>
        <w:rPr>
          <w:rFonts w:ascii="Arial" w:hAnsi="Arial"/>
          <w:sz w:val="20"/>
          <w:lang w:val="en-GB"/>
        </w:rPr>
        <w:t xml:space="preserve"> of the </w:t>
      </w:r>
      <w:r w:rsidR="00F30EF5" w:rsidRPr="001E041C">
        <w:rPr>
          <w:rFonts w:ascii="Arial" w:hAnsi="Arial"/>
          <w:sz w:val="20"/>
          <w:lang w:val="en-GB"/>
        </w:rPr>
        <w:t>annual salary</w:t>
      </w:r>
      <w:r>
        <w:rPr>
          <w:rFonts w:ascii="Arial" w:hAnsi="Arial"/>
          <w:sz w:val="20"/>
          <w:lang w:val="en-GB"/>
        </w:rPr>
        <w:t xml:space="preserve"> of the general manager</w:t>
      </w:r>
      <w:r w:rsidR="00F30EF5" w:rsidRPr="001E041C">
        <w:rPr>
          <w:rFonts w:ascii="Arial" w:hAnsi="Arial"/>
          <w:sz w:val="20"/>
          <w:lang w:val="en-GB"/>
        </w:rPr>
        <w:t xml:space="preserve">. </w:t>
      </w:r>
      <w:r>
        <w:rPr>
          <w:rFonts w:ascii="Arial" w:hAnsi="Arial"/>
          <w:sz w:val="20"/>
          <w:lang w:val="en-GB"/>
        </w:rPr>
        <w:t>No deferrals shall be made when paying out the annual Variable Part</w:t>
      </w:r>
      <w:r w:rsidR="00F30EF5" w:rsidRPr="001E041C">
        <w:rPr>
          <w:rFonts w:ascii="Arial" w:hAnsi="Arial"/>
          <w:sz w:val="20"/>
          <w:lang w:val="en-GB"/>
        </w:rPr>
        <w:t>.</w:t>
      </w:r>
    </w:p>
    <w:p w14:paraId="31A9E12D" w14:textId="77777777" w:rsidR="00F53042" w:rsidRPr="001E041C" w:rsidRDefault="008F4E7F" w:rsidP="00A650E5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before="120" w:after="120"/>
        <w:ind w:left="788" w:hanging="431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/>
          <w:sz w:val="20"/>
          <w:lang w:val="en-GB"/>
        </w:rPr>
        <w:t>The</w:t>
      </w:r>
      <w:r w:rsidRPr="001E041C">
        <w:rPr>
          <w:rFonts w:ascii="Arial" w:hAnsi="Arial"/>
          <w:sz w:val="20"/>
          <w:lang w:val="en-GB"/>
        </w:rPr>
        <w:t xml:space="preserve"> annual </w:t>
      </w:r>
      <w:r>
        <w:rPr>
          <w:rFonts w:ascii="Arial" w:hAnsi="Arial"/>
          <w:sz w:val="20"/>
          <w:lang w:val="en-GB"/>
        </w:rPr>
        <w:t xml:space="preserve">Variable Part </w:t>
      </w:r>
      <w:r w:rsidRPr="001E041C">
        <w:rPr>
          <w:rFonts w:ascii="Arial" w:hAnsi="Arial"/>
          <w:sz w:val="20"/>
          <w:lang w:val="en-GB"/>
        </w:rPr>
        <w:t>shall</w:t>
      </w:r>
      <w:r>
        <w:rPr>
          <w:rFonts w:ascii="Arial" w:hAnsi="Arial"/>
          <w:sz w:val="20"/>
          <w:lang w:val="en-GB"/>
        </w:rPr>
        <w:t xml:space="preserve"> be</w:t>
      </w:r>
      <w:r w:rsidR="00F53042" w:rsidRPr="001E041C">
        <w:rPr>
          <w:rFonts w:ascii="Arial" w:hAnsi="Arial"/>
          <w:sz w:val="20"/>
          <w:lang w:val="en-GB"/>
        </w:rPr>
        <w:t xml:space="preserve"> calculat</w:t>
      </w:r>
      <w:r>
        <w:rPr>
          <w:rFonts w:ascii="Arial" w:hAnsi="Arial"/>
          <w:sz w:val="20"/>
          <w:lang w:val="en-GB"/>
        </w:rPr>
        <w:t>ed</w:t>
      </w:r>
      <w:r w:rsidR="00F53042" w:rsidRPr="001E041C">
        <w:rPr>
          <w:rFonts w:ascii="Arial" w:hAnsi="Arial"/>
          <w:sz w:val="20"/>
          <w:lang w:val="en-GB"/>
        </w:rPr>
        <w:t xml:space="preserve"> after the end of the calendar year in which the </w:t>
      </w:r>
      <w:r w:rsidR="00311A97">
        <w:rPr>
          <w:rFonts w:ascii="Arial" w:hAnsi="Arial"/>
          <w:sz w:val="20"/>
          <w:lang w:val="en-GB"/>
        </w:rPr>
        <w:t>general manager</w:t>
      </w:r>
      <w:r>
        <w:rPr>
          <w:rFonts w:ascii="Arial" w:hAnsi="Arial"/>
          <w:sz w:val="20"/>
          <w:lang w:val="en-GB"/>
        </w:rPr>
        <w:t xml:space="preserve"> had</w:t>
      </w:r>
      <w:r w:rsidR="00F53042" w:rsidRPr="001E041C">
        <w:rPr>
          <w:rFonts w:ascii="Arial" w:hAnsi="Arial"/>
          <w:sz w:val="20"/>
          <w:lang w:val="en-GB"/>
        </w:rPr>
        <w:t xml:space="preserve"> to achieve the objectives and shall be </w:t>
      </w:r>
      <w:r>
        <w:rPr>
          <w:rFonts w:ascii="Arial" w:hAnsi="Arial"/>
          <w:sz w:val="20"/>
          <w:lang w:val="en-GB"/>
        </w:rPr>
        <w:t xml:space="preserve">paid within the period of </w:t>
      </w:r>
      <w:r w:rsidR="00F53042" w:rsidRPr="001E041C">
        <w:rPr>
          <w:rFonts w:ascii="Arial" w:hAnsi="Arial"/>
          <w:sz w:val="20"/>
          <w:lang w:val="en-GB"/>
        </w:rPr>
        <w:t xml:space="preserve">four months following the end of the calendar year. </w:t>
      </w:r>
    </w:p>
    <w:p w14:paraId="5D303797" w14:textId="77777777" w:rsidR="00F53042" w:rsidRPr="001E041C" w:rsidRDefault="00F53042" w:rsidP="00A650E5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before="120" w:after="120"/>
        <w:ind w:left="788" w:hanging="431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 xml:space="preserve">The </w:t>
      </w:r>
      <w:r w:rsidR="00C13DB7">
        <w:rPr>
          <w:rFonts w:ascii="Arial" w:hAnsi="Arial"/>
          <w:sz w:val="20"/>
          <w:lang w:val="en-GB"/>
        </w:rPr>
        <w:t xml:space="preserve">paid Variable Part shall be </w:t>
      </w:r>
      <w:r w:rsidRPr="001E041C">
        <w:rPr>
          <w:rFonts w:ascii="Arial" w:hAnsi="Arial"/>
          <w:sz w:val="20"/>
          <w:lang w:val="en-GB"/>
        </w:rPr>
        <w:t xml:space="preserve">included in the average </w:t>
      </w:r>
      <w:r w:rsidR="00C13DB7">
        <w:rPr>
          <w:rFonts w:ascii="Arial" w:hAnsi="Arial"/>
          <w:sz w:val="20"/>
          <w:lang w:val="en-GB"/>
        </w:rPr>
        <w:t>salary</w:t>
      </w:r>
      <w:r w:rsidRPr="001E041C">
        <w:rPr>
          <w:rFonts w:ascii="Arial" w:hAnsi="Arial"/>
          <w:sz w:val="20"/>
          <w:lang w:val="en-GB"/>
        </w:rPr>
        <w:t xml:space="preserve"> of the</w:t>
      </w:r>
      <w:r w:rsidR="00C13DB7">
        <w:rPr>
          <w:rFonts w:ascii="Arial" w:hAnsi="Arial"/>
          <w:sz w:val="20"/>
          <w:lang w:val="en-GB"/>
        </w:rPr>
        <w:t xml:space="preserve"> </w:t>
      </w:r>
      <w:r w:rsidR="00311A97">
        <w:rPr>
          <w:rFonts w:ascii="Arial" w:hAnsi="Arial"/>
          <w:sz w:val="20"/>
          <w:lang w:val="en-GB"/>
        </w:rPr>
        <w:t>general manager</w:t>
      </w:r>
      <w:r w:rsidRPr="001E041C">
        <w:rPr>
          <w:rFonts w:ascii="Arial" w:hAnsi="Arial"/>
          <w:sz w:val="20"/>
          <w:lang w:val="en-GB"/>
        </w:rPr>
        <w:t>.</w:t>
      </w:r>
    </w:p>
    <w:p w14:paraId="1DD17732" w14:textId="77777777" w:rsidR="003217BD" w:rsidRPr="001E041C" w:rsidRDefault="00433AF3" w:rsidP="00171059">
      <w:pPr>
        <w:pStyle w:val="Header"/>
        <w:numPr>
          <w:ilvl w:val="1"/>
          <w:numId w:val="5"/>
        </w:numPr>
        <w:tabs>
          <w:tab w:val="clear" w:pos="4153"/>
          <w:tab w:val="clear" w:pos="8306"/>
          <w:tab w:val="left" w:pos="851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>In exceptional cases,</w:t>
      </w:r>
      <w:r w:rsidR="00311A97">
        <w:rPr>
          <w:rFonts w:ascii="Arial" w:hAnsi="Arial"/>
          <w:sz w:val="20"/>
          <w:lang w:val="en-GB"/>
        </w:rPr>
        <w:t xml:space="preserve"> depending on t</w:t>
      </w:r>
      <w:r w:rsidRPr="001E041C">
        <w:rPr>
          <w:rFonts w:ascii="Arial" w:hAnsi="Arial"/>
          <w:sz w:val="20"/>
          <w:lang w:val="en-GB"/>
        </w:rPr>
        <w:t xml:space="preserve">he financial results of the </w:t>
      </w:r>
      <w:r w:rsidR="00311A97">
        <w:rPr>
          <w:rFonts w:ascii="Arial" w:hAnsi="Arial"/>
          <w:sz w:val="20"/>
          <w:lang w:val="en-GB"/>
        </w:rPr>
        <w:t>Company</w:t>
      </w:r>
      <w:r w:rsidRPr="001E041C">
        <w:rPr>
          <w:rFonts w:ascii="Arial" w:hAnsi="Arial"/>
          <w:sz w:val="20"/>
          <w:lang w:val="en-GB"/>
        </w:rPr>
        <w:t xml:space="preserve"> or other clearly substantiated aspects of its </w:t>
      </w:r>
      <w:r w:rsidR="00311A97">
        <w:rPr>
          <w:rFonts w:ascii="Arial" w:hAnsi="Arial"/>
          <w:sz w:val="20"/>
          <w:lang w:val="en-GB"/>
        </w:rPr>
        <w:t xml:space="preserve">operations, </w:t>
      </w:r>
      <w:r w:rsidR="00311A97" w:rsidRPr="001E041C">
        <w:rPr>
          <w:rFonts w:ascii="Arial" w:hAnsi="Arial"/>
          <w:sz w:val="20"/>
          <w:lang w:val="en-GB"/>
        </w:rPr>
        <w:t xml:space="preserve">the </w:t>
      </w:r>
      <w:r w:rsidR="00311A97">
        <w:rPr>
          <w:rFonts w:ascii="Arial" w:hAnsi="Arial"/>
          <w:sz w:val="20"/>
          <w:lang w:val="en-GB"/>
        </w:rPr>
        <w:t>B</w:t>
      </w:r>
      <w:r w:rsidR="00311A97" w:rsidRPr="001E041C">
        <w:rPr>
          <w:rFonts w:ascii="Arial" w:hAnsi="Arial"/>
          <w:sz w:val="20"/>
          <w:lang w:val="en-GB"/>
        </w:rPr>
        <w:t xml:space="preserve">oard of </w:t>
      </w:r>
      <w:r w:rsidR="00311A97" w:rsidRPr="00311A97">
        <w:rPr>
          <w:rFonts w:ascii="Arial" w:hAnsi="Arial"/>
          <w:sz w:val="20"/>
          <w:lang w:val="en-GB"/>
        </w:rPr>
        <w:t>the Company may decide not to pay the annual Variable Part</w:t>
      </w:r>
      <w:r w:rsidRPr="00311A97">
        <w:rPr>
          <w:rFonts w:ascii="Arial" w:hAnsi="Arial"/>
          <w:sz w:val="20"/>
          <w:lang w:val="en-GB"/>
        </w:rPr>
        <w:t>. In th</w:t>
      </w:r>
      <w:r w:rsidR="00311A97" w:rsidRPr="00311A97">
        <w:rPr>
          <w:rFonts w:ascii="Arial" w:hAnsi="Arial"/>
          <w:sz w:val="20"/>
          <w:lang w:val="en-GB"/>
        </w:rPr>
        <w:t xml:space="preserve">e case where </w:t>
      </w:r>
      <w:r w:rsidRPr="00311A97">
        <w:rPr>
          <w:rFonts w:ascii="Arial" w:hAnsi="Arial"/>
          <w:sz w:val="20"/>
          <w:lang w:val="en-GB"/>
        </w:rPr>
        <w:t xml:space="preserve">the </w:t>
      </w:r>
      <w:r w:rsidR="00311A97" w:rsidRPr="00311A97">
        <w:rPr>
          <w:rFonts w:ascii="Arial" w:hAnsi="Arial"/>
          <w:sz w:val="20"/>
          <w:lang w:val="en-GB"/>
        </w:rPr>
        <w:t xml:space="preserve">general manager </w:t>
      </w:r>
      <w:r w:rsidRPr="00311A97">
        <w:rPr>
          <w:rFonts w:ascii="Arial" w:hAnsi="Arial"/>
          <w:sz w:val="20"/>
          <w:lang w:val="en-GB"/>
        </w:rPr>
        <w:t xml:space="preserve">fails to work </w:t>
      </w:r>
      <w:r w:rsidR="00311A97">
        <w:rPr>
          <w:rFonts w:ascii="Arial" w:hAnsi="Arial"/>
          <w:sz w:val="20"/>
          <w:lang w:val="en-GB"/>
        </w:rPr>
        <w:t>a full calendar year at</w:t>
      </w:r>
      <w:r w:rsidRPr="00311A97">
        <w:rPr>
          <w:rFonts w:ascii="Arial" w:hAnsi="Arial"/>
          <w:sz w:val="20"/>
          <w:lang w:val="en-GB"/>
        </w:rPr>
        <w:t xml:space="preserve"> the </w:t>
      </w:r>
      <w:r w:rsidR="00311A97">
        <w:rPr>
          <w:rFonts w:ascii="Arial" w:hAnsi="Arial"/>
          <w:sz w:val="20"/>
          <w:lang w:val="en-GB"/>
        </w:rPr>
        <w:t>Company</w:t>
      </w:r>
      <w:r w:rsidRPr="00311A97">
        <w:rPr>
          <w:rFonts w:ascii="Arial" w:hAnsi="Arial"/>
          <w:sz w:val="20"/>
          <w:lang w:val="en-GB"/>
        </w:rPr>
        <w:t xml:space="preserve">, the Board of the </w:t>
      </w:r>
      <w:r w:rsidR="00311A97">
        <w:rPr>
          <w:rFonts w:ascii="Arial" w:hAnsi="Arial"/>
          <w:sz w:val="20"/>
          <w:lang w:val="en-GB"/>
        </w:rPr>
        <w:t>Company</w:t>
      </w:r>
      <w:r w:rsidRPr="00311A97">
        <w:rPr>
          <w:rFonts w:ascii="Arial" w:hAnsi="Arial"/>
          <w:sz w:val="20"/>
          <w:lang w:val="en-GB"/>
        </w:rPr>
        <w:t xml:space="preserve"> shall decide on the amount </w:t>
      </w:r>
      <w:r w:rsidR="009A0B66">
        <w:rPr>
          <w:rFonts w:ascii="Arial" w:hAnsi="Arial"/>
          <w:sz w:val="20"/>
          <w:lang w:val="en-GB"/>
        </w:rPr>
        <w:t>of the Variable P</w:t>
      </w:r>
      <w:r w:rsidR="00311A97">
        <w:rPr>
          <w:rFonts w:ascii="Arial" w:hAnsi="Arial"/>
          <w:sz w:val="20"/>
          <w:lang w:val="en-GB"/>
        </w:rPr>
        <w:t>art due</w:t>
      </w:r>
      <w:r w:rsidRPr="00311A97">
        <w:rPr>
          <w:rFonts w:ascii="Arial" w:hAnsi="Arial"/>
          <w:sz w:val="20"/>
          <w:lang w:val="en-GB"/>
        </w:rPr>
        <w:t xml:space="preserve">. Where the </w:t>
      </w:r>
      <w:r w:rsidR="00311A97" w:rsidRPr="00311A97">
        <w:rPr>
          <w:rFonts w:ascii="Arial" w:hAnsi="Arial"/>
          <w:sz w:val="20"/>
          <w:lang w:val="en-GB"/>
        </w:rPr>
        <w:t xml:space="preserve">general manager </w:t>
      </w:r>
      <w:r w:rsidRPr="00311A97">
        <w:rPr>
          <w:rFonts w:ascii="Arial" w:hAnsi="Arial"/>
          <w:sz w:val="20"/>
          <w:lang w:val="en-GB"/>
        </w:rPr>
        <w:t xml:space="preserve">is removed from office by reason of </w:t>
      </w:r>
      <w:r w:rsidR="00311A97">
        <w:rPr>
          <w:rFonts w:ascii="Arial" w:hAnsi="Arial"/>
          <w:sz w:val="20"/>
          <w:lang w:val="en-GB"/>
        </w:rPr>
        <w:t xml:space="preserve">his </w:t>
      </w:r>
      <w:r w:rsidRPr="00311A97">
        <w:rPr>
          <w:rFonts w:ascii="Arial" w:hAnsi="Arial"/>
          <w:sz w:val="20"/>
          <w:lang w:val="en-GB"/>
        </w:rPr>
        <w:t xml:space="preserve">fault or on </w:t>
      </w:r>
      <w:r w:rsidR="00311A97">
        <w:rPr>
          <w:rFonts w:ascii="Arial" w:hAnsi="Arial"/>
          <w:sz w:val="20"/>
          <w:lang w:val="en-GB"/>
        </w:rPr>
        <w:t xml:space="preserve">his own </w:t>
      </w:r>
      <w:r w:rsidRPr="00311A97">
        <w:rPr>
          <w:rFonts w:ascii="Arial" w:hAnsi="Arial"/>
          <w:sz w:val="20"/>
          <w:lang w:val="en-GB"/>
        </w:rPr>
        <w:t xml:space="preserve">initiative, </w:t>
      </w:r>
      <w:r w:rsidR="00311A97">
        <w:rPr>
          <w:rFonts w:ascii="Arial" w:hAnsi="Arial"/>
          <w:sz w:val="20"/>
          <w:lang w:val="en-GB"/>
        </w:rPr>
        <w:t xml:space="preserve">the Variable Part shall not in </w:t>
      </w:r>
      <w:r w:rsidRPr="00311A97">
        <w:rPr>
          <w:rFonts w:ascii="Arial" w:hAnsi="Arial"/>
          <w:sz w:val="20"/>
          <w:lang w:val="en-GB"/>
        </w:rPr>
        <w:t>all cases</w:t>
      </w:r>
      <w:r w:rsidR="00311A97">
        <w:rPr>
          <w:rFonts w:ascii="Arial" w:hAnsi="Arial"/>
          <w:sz w:val="20"/>
          <w:lang w:val="en-GB"/>
        </w:rPr>
        <w:t xml:space="preserve"> be allocated or paid</w:t>
      </w:r>
      <w:r w:rsidRPr="00311A97">
        <w:rPr>
          <w:rFonts w:ascii="Arial" w:hAnsi="Arial"/>
          <w:sz w:val="20"/>
          <w:lang w:val="en-GB"/>
        </w:rPr>
        <w:t xml:space="preserve">, unless the </w:t>
      </w:r>
      <w:r w:rsidRPr="001E041C">
        <w:rPr>
          <w:rFonts w:ascii="Arial" w:hAnsi="Arial"/>
          <w:sz w:val="20"/>
          <w:lang w:val="en-GB"/>
        </w:rPr>
        <w:t>Board takes a different decision on a case-by-case basis.</w:t>
      </w:r>
    </w:p>
    <w:p w14:paraId="07D67CC1" w14:textId="77777777" w:rsidR="00817FC4" w:rsidRPr="001E041C" w:rsidRDefault="00817FC4" w:rsidP="00817FC4">
      <w:pPr>
        <w:pStyle w:val="Header"/>
        <w:numPr>
          <w:ilvl w:val="1"/>
          <w:numId w:val="5"/>
        </w:numPr>
        <w:tabs>
          <w:tab w:val="clear" w:pos="4153"/>
          <w:tab w:val="clear" w:pos="8306"/>
          <w:tab w:val="left" w:pos="851"/>
        </w:tabs>
        <w:spacing w:before="120" w:after="120"/>
        <w:ind w:left="851" w:hanging="567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 xml:space="preserve">The Board of the </w:t>
      </w:r>
      <w:r w:rsidR="00981835">
        <w:rPr>
          <w:rFonts w:ascii="Arial" w:hAnsi="Arial"/>
          <w:sz w:val="20"/>
          <w:lang w:val="en-GB"/>
        </w:rPr>
        <w:t>Company</w:t>
      </w:r>
      <w:r w:rsidRPr="001E041C">
        <w:rPr>
          <w:rFonts w:ascii="Arial" w:hAnsi="Arial"/>
          <w:sz w:val="20"/>
          <w:lang w:val="en-GB"/>
        </w:rPr>
        <w:t xml:space="preserve"> may decide to apply long-term </w:t>
      </w:r>
      <w:r w:rsidR="00981835">
        <w:rPr>
          <w:rFonts w:ascii="Arial" w:hAnsi="Arial"/>
          <w:sz w:val="20"/>
          <w:lang w:val="en-GB"/>
        </w:rPr>
        <w:t>incentives</w:t>
      </w:r>
      <w:r w:rsidRPr="001E041C">
        <w:rPr>
          <w:rFonts w:ascii="Arial" w:hAnsi="Arial"/>
          <w:sz w:val="20"/>
          <w:lang w:val="en-GB"/>
        </w:rPr>
        <w:t xml:space="preserve"> and establish </w:t>
      </w:r>
      <w:r w:rsidR="00981835">
        <w:rPr>
          <w:rFonts w:ascii="Arial" w:hAnsi="Arial"/>
          <w:sz w:val="20"/>
          <w:lang w:val="en-GB"/>
        </w:rPr>
        <w:t>their</w:t>
      </w:r>
      <w:r w:rsidRPr="001E041C">
        <w:rPr>
          <w:rFonts w:ascii="Arial" w:hAnsi="Arial"/>
          <w:sz w:val="20"/>
          <w:lang w:val="en-GB"/>
        </w:rPr>
        <w:t xml:space="preserve"> principles.</w:t>
      </w:r>
    </w:p>
    <w:p w14:paraId="4A7CA572" w14:textId="77777777" w:rsidR="00F30EF5" w:rsidRPr="001E041C" w:rsidRDefault="00F30EF5" w:rsidP="00817FC4">
      <w:pPr>
        <w:pStyle w:val="Header"/>
        <w:tabs>
          <w:tab w:val="clear" w:pos="4153"/>
          <w:tab w:val="clear" w:pos="8306"/>
          <w:tab w:val="left" w:pos="851"/>
        </w:tabs>
        <w:spacing w:before="120" w:after="120"/>
        <w:ind w:left="851" w:hanging="567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2AE3DC22" w14:textId="77777777" w:rsidR="00F30EF5" w:rsidRPr="001E041C" w:rsidRDefault="00F30EF5" w:rsidP="00AA7E70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1E041C">
        <w:rPr>
          <w:rFonts w:ascii="Arial" w:hAnsi="Arial"/>
          <w:b/>
          <w:sz w:val="20"/>
          <w:lang w:val="en-GB"/>
        </w:rPr>
        <w:t xml:space="preserve">NOTICE PERIODS, </w:t>
      </w:r>
      <w:r w:rsidR="00981835">
        <w:rPr>
          <w:rFonts w:ascii="Arial" w:hAnsi="Arial"/>
          <w:b/>
          <w:sz w:val="20"/>
          <w:lang w:val="en-GB"/>
        </w:rPr>
        <w:t>SEVERANCE PAY</w:t>
      </w:r>
      <w:r w:rsidRPr="001E041C">
        <w:rPr>
          <w:rFonts w:ascii="Arial" w:hAnsi="Arial"/>
          <w:b/>
          <w:sz w:val="20"/>
          <w:lang w:val="en-GB"/>
        </w:rPr>
        <w:t>, PENSIONS</w:t>
      </w:r>
    </w:p>
    <w:p w14:paraId="0280D667" w14:textId="77777777" w:rsidR="00AA7E70" w:rsidRPr="001E041C" w:rsidRDefault="00AA7E70" w:rsidP="00AA7E70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3ADDCED" w14:textId="77777777" w:rsidR="00F30EF5" w:rsidRPr="001E041C" w:rsidRDefault="00F53042" w:rsidP="00F30EF5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 xml:space="preserve">The notice </w:t>
      </w:r>
      <w:r w:rsidR="00981835">
        <w:rPr>
          <w:rFonts w:ascii="Arial" w:hAnsi="Arial"/>
          <w:sz w:val="20"/>
          <w:lang w:val="en-GB"/>
        </w:rPr>
        <w:t>period</w:t>
      </w:r>
      <w:r w:rsidRPr="001E041C">
        <w:rPr>
          <w:rFonts w:ascii="Arial" w:hAnsi="Arial"/>
          <w:sz w:val="20"/>
          <w:lang w:val="en-GB"/>
        </w:rPr>
        <w:t xml:space="preserve"> (and, where applicable, </w:t>
      </w:r>
      <w:r w:rsidR="00981835">
        <w:rPr>
          <w:rFonts w:ascii="Arial" w:hAnsi="Arial"/>
          <w:sz w:val="20"/>
          <w:lang w:val="en-GB"/>
        </w:rPr>
        <w:t xml:space="preserve">term for </w:t>
      </w:r>
      <w:r w:rsidRPr="001E041C">
        <w:rPr>
          <w:rFonts w:ascii="Arial" w:hAnsi="Arial"/>
          <w:sz w:val="20"/>
          <w:lang w:val="en-GB"/>
        </w:rPr>
        <w:t xml:space="preserve">dismissal) shall apply to </w:t>
      </w:r>
      <w:r w:rsidR="00981835">
        <w:rPr>
          <w:rFonts w:ascii="Arial" w:hAnsi="Arial"/>
          <w:sz w:val="20"/>
          <w:lang w:val="en-GB"/>
        </w:rPr>
        <w:t>Executives as set out in the existing legal acts</w:t>
      </w:r>
      <w:r w:rsidRPr="001E041C">
        <w:rPr>
          <w:rFonts w:ascii="Arial" w:hAnsi="Arial"/>
          <w:sz w:val="20"/>
          <w:lang w:val="en-GB"/>
        </w:rPr>
        <w:t xml:space="preserve">. </w:t>
      </w:r>
      <w:r w:rsidR="00981835">
        <w:rPr>
          <w:rFonts w:ascii="Arial" w:hAnsi="Arial"/>
          <w:sz w:val="20"/>
          <w:lang w:val="en-GB"/>
        </w:rPr>
        <w:t>Unless</w:t>
      </w:r>
      <w:r w:rsidRPr="001E041C">
        <w:rPr>
          <w:rFonts w:ascii="Arial" w:hAnsi="Arial"/>
          <w:sz w:val="20"/>
          <w:lang w:val="en-GB"/>
        </w:rPr>
        <w:t xml:space="preserve"> the </w:t>
      </w:r>
      <w:r w:rsidR="00981835">
        <w:rPr>
          <w:rFonts w:ascii="Arial" w:hAnsi="Arial"/>
          <w:sz w:val="20"/>
          <w:lang w:val="en-GB"/>
        </w:rPr>
        <w:t>general manager</w:t>
      </w:r>
      <w:r w:rsidRPr="001E041C">
        <w:rPr>
          <w:rFonts w:ascii="Arial" w:hAnsi="Arial"/>
          <w:sz w:val="20"/>
          <w:lang w:val="en-GB"/>
        </w:rPr>
        <w:t xml:space="preserve"> and the </w:t>
      </w:r>
      <w:r w:rsidR="00981835">
        <w:rPr>
          <w:rFonts w:ascii="Arial" w:hAnsi="Arial"/>
          <w:sz w:val="20"/>
          <w:lang w:val="en-GB"/>
        </w:rPr>
        <w:t>C</w:t>
      </w:r>
      <w:r w:rsidRPr="001E041C">
        <w:rPr>
          <w:rFonts w:ascii="Arial" w:hAnsi="Arial"/>
          <w:sz w:val="20"/>
          <w:lang w:val="en-GB"/>
        </w:rPr>
        <w:t xml:space="preserve">ompany </w:t>
      </w:r>
      <w:r w:rsidR="00981835">
        <w:rPr>
          <w:rFonts w:ascii="Arial" w:hAnsi="Arial"/>
          <w:sz w:val="20"/>
          <w:lang w:val="en-GB"/>
        </w:rPr>
        <w:t xml:space="preserve">agree on other notice periods </w:t>
      </w:r>
      <w:r w:rsidRPr="001E041C">
        <w:rPr>
          <w:rFonts w:ascii="Arial" w:hAnsi="Arial"/>
          <w:sz w:val="20"/>
          <w:lang w:val="en-GB"/>
        </w:rPr>
        <w:t xml:space="preserve">of </w:t>
      </w:r>
      <w:r w:rsidR="00981835">
        <w:rPr>
          <w:rFonts w:ascii="Arial" w:hAnsi="Arial"/>
          <w:sz w:val="20"/>
          <w:lang w:val="en-GB"/>
        </w:rPr>
        <w:t xml:space="preserve">the </w:t>
      </w:r>
      <w:r w:rsidRPr="001E041C">
        <w:rPr>
          <w:rFonts w:ascii="Arial" w:hAnsi="Arial"/>
          <w:sz w:val="20"/>
          <w:lang w:val="en-GB"/>
        </w:rPr>
        <w:t xml:space="preserve">termination of </w:t>
      </w:r>
      <w:r w:rsidR="00981835">
        <w:rPr>
          <w:rFonts w:ascii="Arial" w:hAnsi="Arial"/>
          <w:sz w:val="20"/>
          <w:lang w:val="en-GB"/>
        </w:rPr>
        <w:t xml:space="preserve">the </w:t>
      </w:r>
      <w:r w:rsidRPr="001E041C">
        <w:rPr>
          <w:rFonts w:ascii="Arial" w:hAnsi="Arial"/>
          <w:sz w:val="20"/>
          <w:lang w:val="en-GB"/>
        </w:rPr>
        <w:t>employment</w:t>
      </w:r>
      <w:r w:rsidR="00981835">
        <w:rPr>
          <w:rFonts w:ascii="Arial" w:hAnsi="Arial"/>
          <w:sz w:val="20"/>
          <w:lang w:val="en-GB"/>
        </w:rPr>
        <w:t xml:space="preserve"> contract</w:t>
      </w:r>
      <w:r w:rsidRPr="001E041C">
        <w:rPr>
          <w:rFonts w:ascii="Arial" w:hAnsi="Arial"/>
          <w:sz w:val="20"/>
          <w:lang w:val="en-GB"/>
        </w:rPr>
        <w:t xml:space="preserve">, both parties shall </w:t>
      </w:r>
      <w:r w:rsidR="00981835">
        <w:rPr>
          <w:rFonts w:ascii="Arial" w:hAnsi="Arial"/>
          <w:sz w:val="20"/>
          <w:lang w:val="en-GB"/>
        </w:rPr>
        <w:t>observe</w:t>
      </w:r>
      <w:r w:rsidRPr="001E041C">
        <w:rPr>
          <w:rFonts w:ascii="Arial" w:hAnsi="Arial"/>
          <w:sz w:val="20"/>
          <w:lang w:val="en-GB"/>
        </w:rPr>
        <w:t xml:space="preserve"> the mandatory notice </w:t>
      </w:r>
      <w:r w:rsidR="00981835">
        <w:rPr>
          <w:rFonts w:ascii="Arial" w:hAnsi="Arial"/>
          <w:sz w:val="20"/>
          <w:lang w:val="en-GB"/>
        </w:rPr>
        <w:t xml:space="preserve">periods </w:t>
      </w:r>
      <w:r w:rsidRPr="001E041C">
        <w:rPr>
          <w:rFonts w:ascii="Arial" w:hAnsi="Arial"/>
          <w:sz w:val="20"/>
          <w:lang w:val="en-GB"/>
        </w:rPr>
        <w:t xml:space="preserve">of </w:t>
      </w:r>
      <w:r w:rsidR="00981835">
        <w:rPr>
          <w:rFonts w:ascii="Arial" w:hAnsi="Arial"/>
          <w:sz w:val="20"/>
          <w:lang w:val="en-GB"/>
        </w:rPr>
        <w:t xml:space="preserve">the </w:t>
      </w:r>
      <w:r w:rsidR="00981835" w:rsidRPr="001E041C">
        <w:rPr>
          <w:rFonts w:ascii="Arial" w:hAnsi="Arial"/>
          <w:sz w:val="20"/>
          <w:lang w:val="en-GB"/>
        </w:rPr>
        <w:t xml:space="preserve">termination of </w:t>
      </w:r>
      <w:r w:rsidR="00981835">
        <w:rPr>
          <w:rFonts w:ascii="Arial" w:hAnsi="Arial"/>
          <w:sz w:val="20"/>
          <w:lang w:val="en-GB"/>
        </w:rPr>
        <w:t xml:space="preserve">the </w:t>
      </w:r>
      <w:r w:rsidR="00981835" w:rsidRPr="001E041C">
        <w:rPr>
          <w:rFonts w:ascii="Arial" w:hAnsi="Arial"/>
          <w:sz w:val="20"/>
          <w:lang w:val="en-GB"/>
        </w:rPr>
        <w:t>employment</w:t>
      </w:r>
      <w:r w:rsidR="00981835">
        <w:rPr>
          <w:rFonts w:ascii="Arial" w:hAnsi="Arial"/>
          <w:sz w:val="20"/>
          <w:lang w:val="en-GB"/>
        </w:rPr>
        <w:t xml:space="preserve"> contract</w:t>
      </w:r>
      <w:r w:rsidR="00981835" w:rsidRPr="001E041C">
        <w:rPr>
          <w:rFonts w:ascii="Arial" w:hAnsi="Arial"/>
          <w:sz w:val="20"/>
          <w:lang w:val="en-GB"/>
        </w:rPr>
        <w:t xml:space="preserve"> </w:t>
      </w:r>
      <w:r w:rsidRPr="001E041C">
        <w:rPr>
          <w:rFonts w:ascii="Arial" w:hAnsi="Arial"/>
          <w:sz w:val="20"/>
          <w:lang w:val="en-GB"/>
        </w:rPr>
        <w:t xml:space="preserve">provided for in the </w:t>
      </w:r>
      <w:r w:rsidR="00981835" w:rsidRPr="001E041C">
        <w:rPr>
          <w:rFonts w:ascii="Arial" w:hAnsi="Arial"/>
          <w:sz w:val="20"/>
          <w:lang w:val="en-GB"/>
        </w:rPr>
        <w:t>Labour</w:t>
      </w:r>
      <w:r w:rsidRPr="001E041C">
        <w:rPr>
          <w:rFonts w:ascii="Arial" w:hAnsi="Arial"/>
          <w:sz w:val="20"/>
          <w:lang w:val="en-GB"/>
        </w:rPr>
        <w:t xml:space="preserve"> Code of the Republic of Lithuania and other laws</w:t>
      </w:r>
      <w:r w:rsidR="00981835">
        <w:rPr>
          <w:rFonts w:ascii="Arial" w:hAnsi="Arial"/>
          <w:sz w:val="20"/>
          <w:lang w:val="en-GB"/>
        </w:rPr>
        <w:t xml:space="preserve">, where any </w:t>
      </w:r>
      <w:r w:rsidRPr="001E041C">
        <w:rPr>
          <w:rFonts w:ascii="Arial" w:hAnsi="Arial"/>
          <w:sz w:val="20"/>
          <w:lang w:val="en-GB"/>
        </w:rPr>
        <w:t xml:space="preserve">party decides to initiate </w:t>
      </w:r>
      <w:r w:rsidR="00981835">
        <w:rPr>
          <w:rFonts w:ascii="Arial" w:hAnsi="Arial"/>
          <w:sz w:val="20"/>
          <w:lang w:val="en-GB"/>
        </w:rPr>
        <w:t xml:space="preserve">the </w:t>
      </w:r>
      <w:r w:rsidRPr="001E041C">
        <w:rPr>
          <w:rFonts w:ascii="Arial" w:hAnsi="Arial"/>
          <w:sz w:val="20"/>
          <w:lang w:val="en-GB"/>
        </w:rPr>
        <w:t>termination of the employment contract.</w:t>
      </w:r>
    </w:p>
    <w:p w14:paraId="600129B8" w14:textId="77777777" w:rsidR="00F30EF5" w:rsidRPr="001E041C" w:rsidRDefault="00F30EF5" w:rsidP="00F30EF5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 xml:space="preserve">Upon </w:t>
      </w:r>
      <w:r w:rsidR="00783782">
        <w:rPr>
          <w:rFonts w:ascii="Arial" w:hAnsi="Arial"/>
          <w:sz w:val="20"/>
          <w:lang w:val="en-GB"/>
        </w:rPr>
        <w:t xml:space="preserve">the </w:t>
      </w:r>
      <w:r w:rsidRPr="001E041C">
        <w:rPr>
          <w:rFonts w:ascii="Arial" w:hAnsi="Arial"/>
          <w:sz w:val="20"/>
          <w:lang w:val="en-GB"/>
        </w:rPr>
        <w:t xml:space="preserve">termination of the employment contract, the </w:t>
      </w:r>
      <w:r w:rsidR="00783782">
        <w:rPr>
          <w:rFonts w:ascii="Arial" w:hAnsi="Arial"/>
          <w:sz w:val="20"/>
          <w:lang w:val="en-GB"/>
        </w:rPr>
        <w:t>general manager</w:t>
      </w:r>
      <w:r w:rsidRPr="001E041C">
        <w:rPr>
          <w:rFonts w:ascii="Arial" w:hAnsi="Arial"/>
          <w:sz w:val="20"/>
          <w:lang w:val="en-GB"/>
        </w:rPr>
        <w:t xml:space="preserve"> shall be entitled to the severance </w:t>
      </w:r>
      <w:r w:rsidR="00783782">
        <w:rPr>
          <w:rFonts w:ascii="Arial" w:hAnsi="Arial"/>
          <w:sz w:val="20"/>
          <w:lang w:val="en-GB"/>
        </w:rPr>
        <w:t>pay</w:t>
      </w:r>
      <w:r w:rsidRPr="001E041C">
        <w:rPr>
          <w:rFonts w:ascii="Arial" w:hAnsi="Arial"/>
          <w:sz w:val="20"/>
          <w:lang w:val="en-GB"/>
        </w:rPr>
        <w:t xml:space="preserve"> provided for in the </w:t>
      </w:r>
      <w:r w:rsidR="00783782">
        <w:rPr>
          <w:rFonts w:ascii="Arial" w:hAnsi="Arial"/>
          <w:sz w:val="20"/>
          <w:lang w:val="en-GB"/>
        </w:rPr>
        <w:t>L</w:t>
      </w:r>
      <w:r w:rsidR="00783782" w:rsidRPr="001E041C">
        <w:rPr>
          <w:rFonts w:ascii="Arial" w:hAnsi="Arial"/>
          <w:sz w:val="20"/>
          <w:lang w:val="en-GB"/>
        </w:rPr>
        <w:t>abour</w:t>
      </w:r>
      <w:r w:rsidRPr="001E041C">
        <w:rPr>
          <w:rFonts w:ascii="Arial" w:hAnsi="Arial"/>
          <w:sz w:val="20"/>
          <w:lang w:val="en-GB"/>
        </w:rPr>
        <w:t xml:space="preserve"> Code of the Republic of Lithuania (if the </w:t>
      </w:r>
      <w:r w:rsidR="00783782">
        <w:rPr>
          <w:rFonts w:ascii="Arial" w:hAnsi="Arial"/>
          <w:sz w:val="20"/>
          <w:lang w:val="en-GB"/>
        </w:rPr>
        <w:t>general manager</w:t>
      </w:r>
      <w:r w:rsidRPr="001E041C">
        <w:rPr>
          <w:rFonts w:ascii="Arial" w:hAnsi="Arial"/>
          <w:sz w:val="20"/>
          <w:lang w:val="en-GB"/>
        </w:rPr>
        <w:t xml:space="preserve"> is </w:t>
      </w:r>
      <w:r w:rsidR="00783782">
        <w:rPr>
          <w:rFonts w:ascii="Arial" w:hAnsi="Arial"/>
          <w:sz w:val="20"/>
          <w:lang w:val="en-GB"/>
        </w:rPr>
        <w:t>at all</w:t>
      </w:r>
      <w:r w:rsidRPr="001E041C">
        <w:rPr>
          <w:rFonts w:ascii="Arial" w:hAnsi="Arial"/>
          <w:sz w:val="20"/>
          <w:lang w:val="en-GB"/>
        </w:rPr>
        <w:t xml:space="preserve"> entitled to it under the law), unless the parties agree on a different severance </w:t>
      </w:r>
      <w:r w:rsidR="00783782">
        <w:rPr>
          <w:rFonts w:ascii="Arial" w:hAnsi="Arial"/>
          <w:sz w:val="20"/>
          <w:lang w:val="en-GB"/>
        </w:rPr>
        <w:t>pay</w:t>
      </w:r>
      <w:r w:rsidRPr="001E041C">
        <w:rPr>
          <w:rFonts w:ascii="Arial" w:hAnsi="Arial"/>
          <w:sz w:val="20"/>
          <w:lang w:val="en-GB"/>
        </w:rPr>
        <w:t xml:space="preserve"> in the employment contract. </w:t>
      </w:r>
    </w:p>
    <w:p w14:paraId="27AA5C79" w14:textId="77777777" w:rsidR="0055592A" w:rsidRPr="001E041C" w:rsidRDefault="00783782" w:rsidP="00F30EF5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/>
          <w:sz w:val="20"/>
          <w:lang w:val="en-GB"/>
        </w:rPr>
        <w:t xml:space="preserve">No </w:t>
      </w:r>
      <w:r w:rsidR="0055592A" w:rsidRPr="001E041C">
        <w:rPr>
          <w:rFonts w:ascii="Arial" w:hAnsi="Arial"/>
          <w:sz w:val="20"/>
          <w:lang w:val="en-GB"/>
        </w:rPr>
        <w:t>prior arrangements on the conditions for early retirement</w:t>
      </w:r>
      <w:r>
        <w:rPr>
          <w:rFonts w:ascii="Arial" w:hAnsi="Arial"/>
          <w:sz w:val="20"/>
          <w:lang w:val="en-GB"/>
        </w:rPr>
        <w:t xml:space="preserve"> shall apply to Executives</w:t>
      </w:r>
      <w:r w:rsidR="0055592A" w:rsidRPr="001E041C">
        <w:rPr>
          <w:rFonts w:ascii="Arial" w:hAnsi="Arial"/>
          <w:sz w:val="20"/>
          <w:lang w:val="en-GB"/>
        </w:rPr>
        <w:t>.</w:t>
      </w:r>
    </w:p>
    <w:p w14:paraId="4DAA659F" w14:textId="77777777" w:rsidR="00043629" w:rsidRPr="001E041C" w:rsidRDefault="00043629" w:rsidP="00043629">
      <w:pPr>
        <w:pStyle w:val="Header"/>
        <w:tabs>
          <w:tab w:val="clear" w:pos="4153"/>
          <w:tab w:val="clear" w:pos="8306"/>
        </w:tabs>
        <w:spacing w:before="120" w:after="120"/>
        <w:ind w:left="792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1D097289" w14:textId="77777777" w:rsidR="0084294F" w:rsidRPr="001E041C" w:rsidRDefault="0084294F" w:rsidP="0084294F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1E041C">
        <w:rPr>
          <w:rFonts w:ascii="Arial" w:hAnsi="Arial"/>
          <w:b/>
          <w:sz w:val="20"/>
          <w:lang w:val="en-GB"/>
        </w:rPr>
        <w:t>FINAL PROVISIONS</w:t>
      </w:r>
    </w:p>
    <w:p w14:paraId="0E7BA938" w14:textId="77777777" w:rsidR="0084294F" w:rsidRPr="001E041C" w:rsidRDefault="0084294F" w:rsidP="009E5BA3">
      <w:pPr>
        <w:ind w:left="360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39178CB4" w14:textId="77777777" w:rsidR="0084294F" w:rsidRPr="001E041C" w:rsidRDefault="0084294F" w:rsidP="009E5BA3">
      <w:pPr>
        <w:ind w:left="360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577DBA8B" w14:textId="77777777" w:rsidR="00931C27" w:rsidRPr="001E041C" w:rsidRDefault="0084294F" w:rsidP="00E271DF">
      <w:pPr>
        <w:numPr>
          <w:ilvl w:val="1"/>
          <w:numId w:val="5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lastRenderedPageBreak/>
        <w:t xml:space="preserve">The </w:t>
      </w:r>
      <w:r w:rsidR="00D22F20">
        <w:rPr>
          <w:rFonts w:ascii="Arial" w:hAnsi="Arial"/>
          <w:sz w:val="20"/>
          <w:lang w:val="en-GB"/>
        </w:rPr>
        <w:t>B</w:t>
      </w:r>
      <w:r w:rsidRPr="001E041C">
        <w:rPr>
          <w:rFonts w:ascii="Arial" w:hAnsi="Arial"/>
          <w:sz w:val="20"/>
          <w:lang w:val="en-GB"/>
        </w:rPr>
        <w:t xml:space="preserve">oard of the </w:t>
      </w:r>
      <w:r w:rsidR="00D22F20">
        <w:rPr>
          <w:rFonts w:ascii="Arial" w:hAnsi="Arial"/>
          <w:sz w:val="20"/>
          <w:lang w:val="en-GB"/>
        </w:rPr>
        <w:t>C</w:t>
      </w:r>
      <w:r w:rsidRPr="001E041C">
        <w:rPr>
          <w:rFonts w:ascii="Arial" w:hAnsi="Arial"/>
          <w:sz w:val="20"/>
          <w:lang w:val="en-GB"/>
        </w:rPr>
        <w:t xml:space="preserve">ompany shall be responsible for the control of the </w:t>
      </w:r>
      <w:r w:rsidR="00D22F20">
        <w:rPr>
          <w:rFonts w:ascii="Arial" w:hAnsi="Arial"/>
          <w:sz w:val="20"/>
          <w:lang w:val="en-GB"/>
        </w:rPr>
        <w:t>implementation</w:t>
      </w:r>
      <w:r w:rsidRPr="001E041C">
        <w:rPr>
          <w:rFonts w:ascii="Arial" w:hAnsi="Arial"/>
          <w:sz w:val="20"/>
          <w:lang w:val="en-GB"/>
        </w:rPr>
        <w:t xml:space="preserve"> of the </w:t>
      </w:r>
      <w:r w:rsidR="00D22F20">
        <w:rPr>
          <w:rFonts w:ascii="Arial" w:hAnsi="Arial"/>
          <w:sz w:val="20"/>
          <w:lang w:val="en-GB"/>
        </w:rPr>
        <w:t>R</w:t>
      </w:r>
      <w:r w:rsidRPr="001E041C">
        <w:rPr>
          <w:rFonts w:ascii="Arial" w:hAnsi="Arial"/>
          <w:sz w:val="20"/>
          <w:lang w:val="en-GB"/>
        </w:rPr>
        <w:t xml:space="preserve">emuneration </w:t>
      </w:r>
      <w:r w:rsidR="00D22F20">
        <w:rPr>
          <w:rFonts w:ascii="Arial" w:hAnsi="Arial"/>
          <w:sz w:val="20"/>
          <w:lang w:val="en-GB"/>
        </w:rPr>
        <w:t>P</w:t>
      </w:r>
      <w:r w:rsidRPr="001E041C">
        <w:rPr>
          <w:rFonts w:ascii="Arial" w:hAnsi="Arial"/>
          <w:sz w:val="20"/>
          <w:lang w:val="en-GB"/>
        </w:rPr>
        <w:t xml:space="preserve">olicy. The </w:t>
      </w:r>
      <w:r w:rsidR="00D22F20">
        <w:rPr>
          <w:rFonts w:ascii="Arial" w:hAnsi="Arial"/>
          <w:sz w:val="20"/>
          <w:lang w:val="en-GB"/>
        </w:rPr>
        <w:t>Company’s Personnel Manager shall be responsible for familiarising the general manager</w:t>
      </w:r>
      <w:r w:rsidRPr="001E041C">
        <w:rPr>
          <w:rFonts w:ascii="Arial" w:hAnsi="Arial"/>
          <w:sz w:val="20"/>
          <w:lang w:val="en-GB"/>
        </w:rPr>
        <w:t xml:space="preserve"> and the Board </w:t>
      </w:r>
      <w:r w:rsidR="00D22F20">
        <w:rPr>
          <w:rFonts w:ascii="Arial" w:hAnsi="Arial"/>
          <w:sz w:val="20"/>
          <w:lang w:val="en-GB"/>
        </w:rPr>
        <w:t>with</w:t>
      </w:r>
      <w:r w:rsidRPr="001E041C">
        <w:rPr>
          <w:rFonts w:ascii="Arial" w:hAnsi="Arial"/>
          <w:sz w:val="20"/>
          <w:lang w:val="en-GB"/>
        </w:rPr>
        <w:t xml:space="preserve"> the </w:t>
      </w:r>
      <w:r w:rsidR="00D22F20">
        <w:rPr>
          <w:rFonts w:ascii="Arial" w:hAnsi="Arial"/>
          <w:sz w:val="20"/>
          <w:lang w:val="en-GB"/>
        </w:rPr>
        <w:t>R</w:t>
      </w:r>
      <w:r w:rsidRPr="001E041C">
        <w:rPr>
          <w:rFonts w:ascii="Arial" w:hAnsi="Arial"/>
          <w:sz w:val="20"/>
          <w:lang w:val="en-GB"/>
        </w:rPr>
        <w:t xml:space="preserve">emuneration </w:t>
      </w:r>
      <w:r w:rsidR="00D22F20">
        <w:rPr>
          <w:rFonts w:ascii="Arial" w:hAnsi="Arial"/>
          <w:sz w:val="20"/>
          <w:lang w:val="en-GB"/>
        </w:rPr>
        <w:t>P</w:t>
      </w:r>
      <w:r w:rsidRPr="001E041C">
        <w:rPr>
          <w:rFonts w:ascii="Arial" w:hAnsi="Arial"/>
          <w:sz w:val="20"/>
          <w:lang w:val="en-GB"/>
        </w:rPr>
        <w:t xml:space="preserve">olicy. </w:t>
      </w:r>
    </w:p>
    <w:p w14:paraId="0D6A4895" w14:textId="77777777" w:rsidR="0084294F" w:rsidRPr="001E041C" w:rsidRDefault="00090F4B" w:rsidP="006F2892">
      <w:pPr>
        <w:numPr>
          <w:ilvl w:val="1"/>
          <w:numId w:val="5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>In order to avoid any conflict of interest</w:t>
      </w:r>
      <w:r w:rsidR="00D22F20">
        <w:rPr>
          <w:rFonts w:ascii="Arial" w:hAnsi="Arial"/>
          <w:sz w:val="20"/>
          <w:lang w:val="en-GB"/>
        </w:rPr>
        <w:t>s</w:t>
      </w:r>
      <w:r w:rsidRPr="001E041C">
        <w:rPr>
          <w:rFonts w:ascii="Arial" w:hAnsi="Arial"/>
          <w:sz w:val="20"/>
          <w:lang w:val="en-GB"/>
        </w:rPr>
        <w:t xml:space="preserve"> in determining the remuneration </w:t>
      </w:r>
      <w:r w:rsidR="00D22F20">
        <w:rPr>
          <w:rFonts w:ascii="Arial" w:hAnsi="Arial"/>
          <w:sz w:val="20"/>
          <w:lang w:val="en-GB"/>
        </w:rPr>
        <w:t>to</w:t>
      </w:r>
      <w:r w:rsidRPr="001E041C">
        <w:rPr>
          <w:rFonts w:ascii="Arial" w:hAnsi="Arial"/>
          <w:sz w:val="20"/>
          <w:lang w:val="en-GB"/>
        </w:rPr>
        <w:t xml:space="preserve"> a</w:t>
      </w:r>
      <w:r w:rsidR="00D22F20">
        <w:rPr>
          <w:rFonts w:ascii="Arial" w:hAnsi="Arial"/>
          <w:sz w:val="20"/>
          <w:lang w:val="en-GB"/>
        </w:rPr>
        <w:t>ny</w:t>
      </w:r>
      <w:r w:rsidRPr="001E041C">
        <w:rPr>
          <w:rFonts w:ascii="Arial" w:hAnsi="Arial"/>
          <w:sz w:val="20"/>
          <w:lang w:val="en-GB"/>
        </w:rPr>
        <w:t xml:space="preserve"> particular </w:t>
      </w:r>
      <w:r w:rsidR="00D22F20">
        <w:rPr>
          <w:rFonts w:ascii="Arial" w:hAnsi="Arial"/>
          <w:sz w:val="20"/>
          <w:lang w:val="en-GB"/>
        </w:rPr>
        <w:t>Executive</w:t>
      </w:r>
      <w:r w:rsidRPr="001E041C">
        <w:rPr>
          <w:rFonts w:ascii="Arial" w:hAnsi="Arial"/>
          <w:sz w:val="20"/>
          <w:lang w:val="en-GB"/>
        </w:rPr>
        <w:t xml:space="preserve">, </w:t>
      </w:r>
      <w:r w:rsidR="00D22F20">
        <w:rPr>
          <w:rFonts w:ascii="Arial" w:hAnsi="Arial"/>
          <w:sz w:val="20"/>
          <w:lang w:val="en-GB"/>
        </w:rPr>
        <w:t xml:space="preserve">amounts of the remuneration, </w:t>
      </w:r>
      <w:r w:rsidRPr="001E041C">
        <w:rPr>
          <w:rFonts w:ascii="Arial" w:hAnsi="Arial"/>
          <w:sz w:val="20"/>
          <w:lang w:val="en-GB"/>
        </w:rPr>
        <w:t xml:space="preserve">assessing the implementation of the </w:t>
      </w:r>
      <w:r w:rsidR="00D22F20">
        <w:rPr>
          <w:rFonts w:ascii="Arial" w:hAnsi="Arial"/>
          <w:sz w:val="20"/>
          <w:lang w:val="en-GB"/>
        </w:rPr>
        <w:t xml:space="preserve">general manager’s KPI, that Executive must step aside when discussing his remuneration and implementation of KPI. </w:t>
      </w:r>
      <w:r w:rsidR="00D22F20" w:rsidRPr="001E041C">
        <w:rPr>
          <w:rFonts w:ascii="Arial" w:hAnsi="Arial"/>
          <w:sz w:val="20"/>
          <w:lang w:val="en-GB"/>
        </w:rPr>
        <w:t>In order to avoid any conflict of interest</w:t>
      </w:r>
      <w:r w:rsidR="00D22F20">
        <w:rPr>
          <w:rFonts w:ascii="Arial" w:hAnsi="Arial"/>
          <w:sz w:val="20"/>
          <w:lang w:val="en-GB"/>
        </w:rPr>
        <w:t>s</w:t>
      </w:r>
      <w:r w:rsidRPr="001E041C">
        <w:rPr>
          <w:rFonts w:ascii="Arial" w:hAnsi="Arial"/>
          <w:sz w:val="20"/>
          <w:lang w:val="en-GB"/>
        </w:rPr>
        <w:t xml:space="preserve">, remuneration must </w:t>
      </w:r>
      <w:r w:rsidR="00D22F20">
        <w:rPr>
          <w:rFonts w:ascii="Arial" w:hAnsi="Arial"/>
          <w:sz w:val="20"/>
          <w:lang w:val="en-GB"/>
        </w:rPr>
        <w:t>comply</w:t>
      </w:r>
      <w:r w:rsidRPr="001E041C">
        <w:rPr>
          <w:rFonts w:ascii="Arial" w:hAnsi="Arial"/>
          <w:sz w:val="20"/>
          <w:lang w:val="en-GB"/>
        </w:rPr>
        <w:t xml:space="preserve"> with the </w:t>
      </w:r>
      <w:r w:rsidR="00D22F20">
        <w:rPr>
          <w:rFonts w:ascii="Arial" w:hAnsi="Arial"/>
          <w:sz w:val="20"/>
          <w:lang w:val="en-GB"/>
        </w:rPr>
        <w:t>provisions of the R</w:t>
      </w:r>
      <w:r w:rsidRPr="001E041C">
        <w:rPr>
          <w:rFonts w:ascii="Arial" w:hAnsi="Arial"/>
          <w:sz w:val="20"/>
          <w:lang w:val="en-GB"/>
        </w:rPr>
        <w:t xml:space="preserve">emuneration </w:t>
      </w:r>
      <w:r w:rsidR="00D22F20">
        <w:rPr>
          <w:rFonts w:ascii="Arial" w:hAnsi="Arial"/>
          <w:sz w:val="20"/>
          <w:lang w:val="en-GB"/>
        </w:rPr>
        <w:t>P</w:t>
      </w:r>
      <w:r w:rsidRPr="001E041C">
        <w:rPr>
          <w:rFonts w:ascii="Arial" w:hAnsi="Arial"/>
          <w:sz w:val="20"/>
          <w:lang w:val="en-GB"/>
        </w:rPr>
        <w:t>olicy.</w:t>
      </w:r>
    </w:p>
    <w:p w14:paraId="416F26B0" w14:textId="77777777" w:rsidR="0048753E" w:rsidRPr="001E041C" w:rsidRDefault="0084294F" w:rsidP="00F81983">
      <w:pPr>
        <w:numPr>
          <w:ilvl w:val="1"/>
          <w:numId w:val="5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 xml:space="preserve">The effective </w:t>
      </w:r>
      <w:r w:rsidR="00D22F20">
        <w:rPr>
          <w:rFonts w:ascii="Arial" w:hAnsi="Arial"/>
          <w:sz w:val="20"/>
          <w:lang w:val="en-GB"/>
        </w:rPr>
        <w:t>R</w:t>
      </w:r>
      <w:r w:rsidRPr="001E041C">
        <w:rPr>
          <w:rFonts w:ascii="Arial" w:hAnsi="Arial"/>
          <w:sz w:val="20"/>
          <w:lang w:val="en-GB"/>
        </w:rPr>
        <w:t xml:space="preserve">emuneration </w:t>
      </w:r>
      <w:r w:rsidR="00D22F20">
        <w:rPr>
          <w:rFonts w:ascii="Arial" w:hAnsi="Arial"/>
          <w:sz w:val="20"/>
          <w:lang w:val="en-GB"/>
        </w:rPr>
        <w:t>P</w:t>
      </w:r>
      <w:r w:rsidRPr="001E041C">
        <w:rPr>
          <w:rFonts w:ascii="Arial" w:hAnsi="Arial"/>
          <w:sz w:val="20"/>
          <w:lang w:val="en-GB"/>
        </w:rPr>
        <w:t xml:space="preserve">olicy may be </w:t>
      </w:r>
      <w:r w:rsidR="00D22F20">
        <w:rPr>
          <w:rFonts w:ascii="Arial" w:hAnsi="Arial"/>
          <w:sz w:val="20"/>
          <w:lang w:val="en-GB"/>
        </w:rPr>
        <w:t>repealed</w:t>
      </w:r>
      <w:r w:rsidRPr="001E041C">
        <w:rPr>
          <w:rFonts w:ascii="Arial" w:hAnsi="Arial"/>
          <w:sz w:val="20"/>
          <w:lang w:val="en-GB"/>
        </w:rPr>
        <w:t xml:space="preserve">, </w:t>
      </w:r>
      <w:r w:rsidR="00D22F20">
        <w:rPr>
          <w:rFonts w:ascii="Arial" w:hAnsi="Arial"/>
          <w:sz w:val="20"/>
          <w:lang w:val="en-GB"/>
        </w:rPr>
        <w:t>amended</w:t>
      </w:r>
      <w:r w:rsidRPr="001E041C">
        <w:rPr>
          <w:rFonts w:ascii="Arial" w:hAnsi="Arial"/>
          <w:sz w:val="20"/>
          <w:lang w:val="en-GB"/>
        </w:rPr>
        <w:t xml:space="preserve"> and/or supplemented by </w:t>
      </w:r>
      <w:r w:rsidR="00D22F20" w:rsidRPr="001E041C">
        <w:rPr>
          <w:rFonts w:ascii="Arial" w:hAnsi="Arial"/>
          <w:sz w:val="20"/>
          <w:lang w:val="en-GB"/>
        </w:rPr>
        <w:t>adopti</w:t>
      </w:r>
      <w:r w:rsidR="00D22F20">
        <w:rPr>
          <w:rFonts w:ascii="Arial" w:hAnsi="Arial"/>
          <w:sz w:val="20"/>
          <w:lang w:val="en-GB"/>
        </w:rPr>
        <w:t xml:space="preserve">ng a </w:t>
      </w:r>
      <w:r w:rsidRPr="001E041C">
        <w:rPr>
          <w:rFonts w:ascii="Arial" w:hAnsi="Arial"/>
          <w:sz w:val="20"/>
          <w:lang w:val="en-GB"/>
        </w:rPr>
        <w:t xml:space="preserve">new version of the </w:t>
      </w:r>
      <w:r w:rsidR="00D22F20">
        <w:rPr>
          <w:rFonts w:ascii="Arial" w:hAnsi="Arial"/>
          <w:sz w:val="20"/>
          <w:lang w:val="en-GB"/>
        </w:rPr>
        <w:t>R</w:t>
      </w:r>
      <w:r w:rsidRPr="001E041C">
        <w:rPr>
          <w:rFonts w:ascii="Arial" w:hAnsi="Arial"/>
          <w:sz w:val="20"/>
          <w:lang w:val="en-GB"/>
        </w:rPr>
        <w:t xml:space="preserve">emuneration </w:t>
      </w:r>
      <w:r w:rsidR="00D22F20">
        <w:rPr>
          <w:rFonts w:ascii="Arial" w:hAnsi="Arial"/>
          <w:sz w:val="20"/>
          <w:lang w:val="en-GB"/>
        </w:rPr>
        <w:t>P</w:t>
      </w:r>
      <w:r w:rsidRPr="001E041C">
        <w:rPr>
          <w:rFonts w:ascii="Arial" w:hAnsi="Arial"/>
          <w:sz w:val="20"/>
          <w:lang w:val="en-GB"/>
        </w:rPr>
        <w:t>olicy or amend</w:t>
      </w:r>
      <w:r w:rsidR="00D22F20">
        <w:rPr>
          <w:rFonts w:ascii="Arial" w:hAnsi="Arial"/>
          <w:sz w:val="20"/>
          <w:lang w:val="en-GB"/>
        </w:rPr>
        <w:t>ing</w:t>
      </w:r>
      <w:r w:rsidRPr="001E041C">
        <w:rPr>
          <w:rFonts w:ascii="Arial" w:hAnsi="Arial"/>
          <w:sz w:val="20"/>
          <w:lang w:val="en-GB"/>
        </w:rPr>
        <w:t xml:space="preserve"> certain provisions</w:t>
      </w:r>
      <w:r w:rsidR="00D22F20" w:rsidRPr="00D22F20">
        <w:rPr>
          <w:rFonts w:ascii="Arial" w:hAnsi="Arial"/>
          <w:sz w:val="20"/>
          <w:lang w:val="en-GB"/>
        </w:rPr>
        <w:t xml:space="preserve"> </w:t>
      </w:r>
      <w:r w:rsidR="00D22F20">
        <w:rPr>
          <w:rFonts w:ascii="Arial" w:hAnsi="Arial"/>
          <w:sz w:val="20"/>
          <w:lang w:val="en-GB"/>
        </w:rPr>
        <w:t>of the R</w:t>
      </w:r>
      <w:r w:rsidR="00D22F20" w:rsidRPr="001E041C">
        <w:rPr>
          <w:rFonts w:ascii="Arial" w:hAnsi="Arial"/>
          <w:sz w:val="20"/>
          <w:lang w:val="en-GB"/>
        </w:rPr>
        <w:t xml:space="preserve">emuneration </w:t>
      </w:r>
      <w:r w:rsidR="00D22F20">
        <w:rPr>
          <w:rFonts w:ascii="Arial" w:hAnsi="Arial"/>
          <w:sz w:val="20"/>
          <w:lang w:val="en-GB"/>
        </w:rPr>
        <w:t>P</w:t>
      </w:r>
      <w:r w:rsidR="00D22F20" w:rsidRPr="001E041C">
        <w:rPr>
          <w:rFonts w:ascii="Arial" w:hAnsi="Arial"/>
          <w:sz w:val="20"/>
          <w:lang w:val="en-GB"/>
        </w:rPr>
        <w:t>olicy</w:t>
      </w:r>
      <w:r w:rsidRPr="001E041C">
        <w:rPr>
          <w:rFonts w:ascii="Arial" w:hAnsi="Arial"/>
          <w:sz w:val="20"/>
          <w:lang w:val="en-GB"/>
        </w:rPr>
        <w:t xml:space="preserve">. The new </w:t>
      </w:r>
      <w:r w:rsidR="00934053">
        <w:rPr>
          <w:rFonts w:ascii="Arial" w:hAnsi="Arial"/>
          <w:sz w:val="20"/>
          <w:lang w:val="en-GB"/>
        </w:rPr>
        <w:t>R</w:t>
      </w:r>
      <w:r w:rsidRPr="001E041C">
        <w:rPr>
          <w:rFonts w:ascii="Arial" w:hAnsi="Arial"/>
          <w:sz w:val="20"/>
          <w:lang w:val="en-GB"/>
        </w:rPr>
        <w:t xml:space="preserve">emuneration </w:t>
      </w:r>
      <w:r w:rsidR="00934053">
        <w:rPr>
          <w:rFonts w:ascii="Arial" w:hAnsi="Arial"/>
          <w:sz w:val="20"/>
          <w:lang w:val="en-GB"/>
        </w:rPr>
        <w:t>P</w:t>
      </w:r>
      <w:r w:rsidRPr="001E041C">
        <w:rPr>
          <w:rFonts w:ascii="Arial" w:hAnsi="Arial"/>
          <w:sz w:val="20"/>
          <w:lang w:val="en-GB"/>
        </w:rPr>
        <w:t xml:space="preserve">olicy or its amendments shall enter into force after </w:t>
      </w:r>
      <w:r w:rsidR="00934053">
        <w:rPr>
          <w:rFonts w:ascii="Arial" w:hAnsi="Arial"/>
          <w:sz w:val="20"/>
          <w:lang w:val="en-GB"/>
        </w:rPr>
        <w:t xml:space="preserve">their </w:t>
      </w:r>
      <w:r w:rsidRPr="001E041C">
        <w:rPr>
          <w:rFonts w:ascii="Arial" w:hAnsi="Arial"/>
          <w:sz w:val="20"/>
          <w:lang w:val="en-GB"/>
        </w:rPr>
        <w:t xml:space="preserve">approval by the </w:t>
      </w:r>
      <w:r w:rsidR="00934053">
        <w:rPr>
          <w:rFonts w:ascii="Arial" w:hAnsi="Arial"/>
          <w:sz w:val="20"/>
          <w:lang w:val="en-GB"/>
        </w:rPr>
        <w:t>G</w:t>
      </w:r>
      <w:r w:rsidRPr="001E041C">
        <w:rPr>
          <w:rFonts w:ascii="Arial" w:hAnsi="Arial"/>
          <w:sz w:val="20"/>
          <w:lang w:val="en-GB"/>
        </w:rPr>
        <w:t xml:space="preserve">eneral </w:t>
      </w:r>
      <w:r w:rsidR="00934053">
        <w:rPr>
          <w:rFonts w:ascii="Arial" w:hAnsi="Arial"/>
          <w:sz w:val="20"/>
          <w:lang w:val="en-GB"/>
        </w:rPr>
        <w:t>M</w:t>
      </w:r>
      <w:r w:rsidRPr="001E041C">
        <w:rPr>
          <w:rFonts w:ascii="Arial" w:hAnsi="Arial"/>
          <w:sz w:val="20"/>
          <w:lang w:val="en-GB"/>
        </w:rPr>
        <w:t xml:space="preserve">eeting of </w:t>
      </w:r>
      <w:r w:rsidR="00934053">
        <w:rPr>
          <w:rFonts w:ascii="Arial" w:hAnsi="Arial"/>
          <w:sz w:val="20"/>
          <w:lang w:val="en-GB"/>
        </w:rPr>
        <w:t>S</w:t>
      </w:r>
      <w:r w:rsidRPr="001E041C">
        <w:rPr>
          <w:rFonts w:ascii="Arial" w:hAnsi="Arial"/>
          <w:sz w:val="20"/>
          <w:lang w:val="en-GB"/>
        </w:rPr>
        <w:t xml:space="preserve">hareholders of the </w:t>
      </w:r>
      <w:r w:rsidR="00934053">
        <w:rPr>
          <w:rFonts w:ascii="Arial" w:hAnsi="Arial"/>
          <w:sz w:val="20"/>
          <w:lang w:val="en-GB"/>
        </w:rPr>
        <w:t>C</w:t>
      </w:r>
      <w:r w:rsidRPr="001E041C">
        <w:rPr>
          <w:rFonts w:ascii="Arial" w:hAnsi="Arial"/>
          <w:sz w:val="20"/>
          <w:lang w:val="en-GB"/>
        </w:rPr>
        <w:t>ompany.</w:t>
      </w:r>
    </w:p>
    <w:p w14:paraId="602C0E5E" w14:textId="77777777" w:rsidR="0055592A" w:rsidRPr="001E041C" w:rsidRDefault="0055592A" w:rsidP="0055592A">
      <w:pPr>
        <w:pStyle w:val="ListParagraph"/>
        <w:rPr>
          <w:rFonts w:ascii="Arial" w:hAnsi="Arial" w:cs="Arial"/>
          <w:bCs/>
          <w:sz w:val="20"/>
          <w:szCs w:val="20"/>
          <w:lang w:val="en-GB"/>
        </w:rPr>
      </w:pPr>
    </w:p>
    <w:p w14:paraId="15302396" w14:textId="77777777" w:rsidR="0055592A" w:rsidRPr="001E041C" w:rsidRDefault="00934053" w:rsidP="00F81983">
      <w:pPr>
        <w:numPr>
          <w:ilvl w:val="1"/>
          <w:numId w:val="5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/>
          <w:sz w:val="20"/>
          <w:lang w:val="en-GB"/>
        </w:rPr>
        <w:t>The Remuneration P</w:t>
      </w:r>
      <w:r w:rsidR="0055592A" w:rsidRPr="001E041C">
        <w:rPr>
          <w:rFonts w:ascii="Arial" w:hAnsi="Arial"/>
          <w:sz w:val="20"/>
          <w:lang w:val="en-GB"/>
        </w:rPr>
        <w:t xml:space="preserve">olicy shall be reviewed every four years by the Board of the </w:t>
      </w:r>
      <w:r>
        <w:rPr>
          <w:rFonts w:ascii="Arial" w:hAnsi="Arial"/>
          <w:sz w:val="20"/>
          <w:lang w:val="en-GB"/>
        </w:rPr>
        <w:t>C</w:t>
      </w:r>
      <w:r w:rsidR="0055592A" w:rsidRPr="001E041C">
        <w:rPr>
          <w:rFonts w:ascii="Arial" w:hAnsi="Arial"/>
          <w:sz w:val="20"/>
          <w:lang w:val="en-GB"/>
        </w:rPr>
        <w:t xml:space="preserve">ompany and submitted for approval to the General </w:t>
      </w:r>
      <w:r>
        <w:rPr>
          <w:rFonts w:ascii="Arial" w:hAnsi="Arial"/>
          <w:sz w:val="20"/>
          <w:lang w:val="en-GB"/>
        </w:rPr>
        <w:t>M</w:t>
      </w:r>
      <w:r w:rsidR="0055592A" w:rsidRPr="001E041C">
        <w:rPr>
          <w:rFonts w:ascii="Arial" w:hAnsi="Arial"/>
          <w:sz w:val="20"/>
          <w:lang w:val="en-GB"/>
        </w:rPr>
        <w:t xml:space="preserve">eeting of Shareholders. The </w:t>
      </w:r>
      <w:r>
        <w:rPr>
          <w:rFonts w:ascii="Arial" w:hAnsi="Arial"/>
          <w:sz w:val="20"/>
          <w:lang w:val="en-GB"/>
        </w:rPr>
        <w:t>R</w:t>
      </w:r>
      <w:r w:rsidR="0055592A" w:rsidRPr="001E041C">
        <w:rPr>
          <w:rFonts w:ascii="Arial" w:hAnsi="Arial"/>
          <w:sz w:val="20"/>
          <w:lang w:val="en-GB"/>
        </w:rPr>
        <w:t xml:space="preserve">emuneration </w:t>
      </w:r>
      <w:r>
        <w:rPr>
          <w:rFonts w:ascii="Arial" w:hAnsi="Arial"/>
          <w:sz w:val="20"/>
          <w:lang w:val="en-GB"/>
        </w:rPr>
        <w:t>P</w:t>
      </w:r>
      <w:r w:rsidR="0055592A" w:rsidRPr="001E041C">
        <w:rPr>
          <w:rFonts w:ascii="Arial" w:hAnsi="Arial"/>
          <w:sz w:val="20"/>
          <w:lang w:val="en-GB"/>
        </w:rPr>
        <w:t xml:space="preserve">olicy may be </w:t>
      </w:r>
      <w:r>
        <w:rPr>
          <w:rFonts w:ascii="Arial" w:hAnsi="Arial"/>
          <w:sz w:val="20"/>
          <w:lang w:val="en-GB"/>
        </w:rPr>
        <w:t>amended</w:t>
      </w:r>
      <w:r w:rsidR="0055592A" w:rsidRPr="001E041C">
        <w:rPr>
          <w:rFonts w:ascii="Arial" w:hAnsi="Arial"/>
          <w:sz w:val="20"/>
          <w:lang w:val="en-GB"/>
        </w:rPr>
        <w:t xml:space="preserve"> by </w:t>
      </w:r>
      <w:r>
        <w:rPr>
          <w:rFonts w:ascii="Arial" w:hAnsi="Arial"/>
          <w:sz w:val="20"/>
          <w:lang w:val="en-GB"/>
        </w:rPr>
        <w:t xml:space="preserve">taking </w:t>
      </w:r>
      <w:r w:rsidR="009A0B66">
        <w:rPr>
          <w:rFonts w:ascii="Arial" w:hAnsi="Arial"/>
          <w:sz w:val="20"/>
          <w:lang w:val="en-GB"/>
        </w:rPr>
        <w:t xml:space="preserve">the following </w:t>
      </w:r>
      <w:r>
        <w:rPr>
          <w:rFonts w:ascii="Arial" w:hAnsi="Arial"/>
          <w:sz w:val="20"/>
          <w:lang w:val="en-GB"/>
        </w:rPr>
        <w:t>into account</w:t>
      </w:r>
      <w:r w:rsidR="0055592A" w:rsidRPr="001E041C">
        <w:rPr>
          <w:rFonts w:ascii="Arial" w:hAnsi="Arial"/>
          <w:sz w:val="20"/>
          <w:lang w:val="en-GB"/>
        </w:rPr>
        <w:t>:</w:t>
      </w:r>
    </w:p>
    <w:p w14:paraId="72D1F97F" w14:textId="77777777" w:rsidR="0055592A" w:rsidRPr="001E041C" w:rsidRDefault="0055592A" w:rsidP="0055592A">
      <w:pPr>
        <w:pStyle w:val="ListParagraph"/>
        <w:rPr>
          <w:rFonts w:ascii="Arial" w:hAnsi="Arial" w:cs="Arial"/>
          <w:bCs/>
          <w:sz w:val="20"/>
          <w:szCs w:val="20"/>
          <w:lang w:val="en-GB"/>
        </w:rPr>
      </w:pPr>
    </w:p>
    <w:p w14:paraId="7C5D6C54" w14:textId="77777777" w:rsidR="0055592A" w:rsidRPr="001E041C" w:rsidRDefault="0055592A" w:rsidP="0055592A">
      <w:pPr>
        <w:numPr>
          <w:ilvl w:val="2"/>
          <w:numId w:val="5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 xml:space="preserve">the </w:t>
      </w:r>
      <w:r w:rsidR="00934053">
        <w:rPr>
          <w:rFonts w:ascii="Arial" w:hAnsi="Arial"/>
          <w:sz w:val="20"/>
          <w:lang w:val="en-GB"/>
        </w:rPr>
        <w:t>overall</w:t>
      </w:r>
      <w:r w:rsidRPr="001E041C">
        <w:rPr>
          <w:rFonts w:ascii="Arial" w:hAnsi="Arial"/>
          <w:sz w:val="20"/>
          <w:lang w:val="en-GB"/>
        </w:rPr>
        <w:t xml:space="preserve"> economic situation </w:t>
      </w:r>
      <w:r w:rsidR="009A0B66">
        <w:rPr>
          <w:rFonts w:ascii="Arial" w:hAnsi="Arial"/>
          <w:sz w:val="20"/>
          <w:lang w:val="en-GB"/>
        </w:rPr>
        <w:t>in</w:t>
      </w:r>
      <w:r w:rsidRPr="001E041C">
        <w:rPr>
          <w:rFonts w:ascii="Arial" w:hAnsi="Arial"/>
          <w:sz w:val="20"/>
          <w:lang w:val="en-GB"/>
        </w:rPr>
        <w:t xml:space="preserve"> the country</w:t>
      </w:r>
      <w:r w:rsidR="00934053">
        <w:rPr>
          <w:rFonts w:ascii="Arial" w:hAnsi="Arial"/>
          <w:sz w:val="20"/>
          <w:lang w:val="en-GB"/>
        </w:rPr>
        <w:t xml:space="preserve"> and in</w:t>
      </w:r>
      <w:r w:rsidRPr="001E041C">
        <w:rPr>
          <w:rFonts w:ascii="Arial" w:hAnsi="Arial"/>
          <w:sz w:val="20"/>
          <w:lang w:val="en-GB"/>
        </w:rPr>
        <w:t xml:space="preserve"> the market;</w:t>
      </w:r>
    </w:p>
    <w:p w14:paraId="2711C1A3" w14:textId="77777777" w:rsidR="0055592A" w:rsidRPr="001E041C" w:rsidRDefault="00934053" w:rsidP="0055592A">
      <w:pPr>
        <w:numPr>
          <w:ilvl w:val="2"/>
          <w:numId w:val="5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/>
          <w:sz w:val="20"/>
          <w:lang w:val="en-GB"/>
        </w:rPr>
        <w:t>t</w:t>
      </w:r>
      <w:r w:rsidR="00447C1E" w:rsidRPr="001E041C">
        <w:rPr>
          <w:rFonts w:ascii="Arial" w:hAnsi="Arial"/>
          <w:sz w:val="20"/>
          <w:lang w:val="en-GB"/>
        </w:rPr>
        <w:t xml:space="preserve">he financial performance of the </w:t>
      </w:r>
      <w:r>
        <w:rPr>
          <w:rFonts w:ascii="Arial" w:hAnsi="Arial"/>
          <w:sz w:val="20"/>
          <w:lang w:val="en-GB"/>
        </w:rPr>
        <w:t>Company</w:t>
      </w:r>
      <w:r w:rsidR="00447C1E" w:rsidRPr="001E041C">
        <w:rPr>
          <w:rFonts w:ascii="Arial" w:hAnsi="Arial"/>
          <w:sz w:val="20"/>
          <w:lang w:val="en-GB"/>
        </w:rPr>
        <w:t>;</w:t>
      </w:r>
    </w:p>
    <w:p w14:paraId="6F3E4C13" w14:textId="77777777" w:rsidR="0055592A" w:rsidRPr="001E041C" w:rsidRDefault="0055592A" w:rsidP="0055592A">
      <w:pPr>
        <w:numPr>
          <w:ilvl w:val="2"/>
          <w:numId w:val="5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>changes in the legislation governing t</w:t>
      </w:r>
      <w:r w:rsidR="00934053">
        <w:rPr>
          <w:rFonts w:ascii="Arial" w:hAnsi="Arial"/>
          <w:sz w:val="20"/>
          <w:lang w:val="en-GB"/>
        </w:rPr>
        <w:t xml:space="preserve">he procedure for </w:t>
      </w:r>
      <w:r w:rsidRPr="001E041C">
        <w:rPr>
          <w:rFonts w:ascii="Arial" w:hAnsi="Arial"/>
          <w:sz w:val="20"/>
          <w:lang w:val="en-GB"/>
        </w:rPr>
        <w:t>remuneration</w:t>
      </w:r>
      <w:r w:rsidR="00E40985" w:rsidRPr="00E40985">
        <w:rPr>
          <w:rFonts w:ascii="Arial" w:hAnsi="Arial"/>
          <w:sz w:val="20"/>
          <w:lang w:val="en-GB"/>
        </w:rPr>
        <w:t xml:space="preserve"> </w:t>
      </w:r>
      <w:r w:rsidR="00E40985">
        <w:rPr>
          <w:rFonts w:ascii="Arial" w:hAnsi="Arial"/>
          <w:sz w:val="20"/>
          <w:lang w:val="en-GB"/>
        </w:rPr>
        <w:t>payment</w:t>
      </w:r>
      <w:r w:rsidRPr="001E041C">
        <w:rPr>
          <w:rFonts w:ascii="Arial" w:hAnsi="Arial"/>
          <w:sz w:val="20"/>
          <w:lang w:val="en-GB"/>
        </w:rPr>
        <w:t>;</w:t>
      </w:r>
    </w:p>
    <w:p w14:paraId="43F96824" w14:textId="77777777" w:rsidR="00FB341E" w:rsidRPr="001E041C" w:rsidRDefault="00934053" w:rsidP="0055592A">
      <w:pPr>
        <w:numPr>
          <w:ilvl w:val="2"/>
          <w:numId w:val="5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/>
          <w:sz w:val="20"/>
          <w:lang w:val="en-GB"/>
        </w:rPr>
        <w:t>or in other cases if necessary</w:t>
      </w:r>
      <w:r w:rsidR="00FB341E" w:rsidRPr="001E041C">
        <w:rPr>
          <w:rFonts w:ascii="Arial" w:hAnsi="Arial"/>
          <w:sz w:val="20"/>
          <w:lang w:val="en-GB"/>
        </w:rPr>
        <w:t>.</w:t>
      </w:r>
    </w:p>
    <w:p w14:paraId="521D1501" w14:textId="77777777" w:rsidR="0055592A" w:rsidRPr="001E041C" w:rsidRDefault="0055592A" w:rsidP="0055592A">
      <w:pPr>
        <w:ind w:left="1224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40BB9EBB" w14:textId="77777777" w:rsidR="0055592A" w:rsidRPr="001E041C" w:rsidRDefault="0055592A" w:rsidP="0055592A">
      <w:pPr>
        <w:numPr>
          <w:ilvl w:val="1"/>
          <w:numId w:val="5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 xml:space="preserve">The </w:t>
      </w:r>
      <w:r w:rsidR="00934053">
        <w:rPr>
          <w:rFonts w:ascii="Arial" w:hAnsi="Arial"/>
          <w:sz w:val="20"/>
          <w:lang w:val="en-GB"/>
        </w:rPr>
        <w:t>R</w:t>
      </w:r>
      <w:r w:rsidRPr="001E041C">
        <w:rPr>
          <w:rFonts w:ascii="Arial" w:hAnsi="Arial"/>
          <w:sz w:val="20"/>
          <w:lang w:val="en-GB"/>
        </w:rPr>
        <w:t xml:space="preserve">emuneration </w:t>
      </w:r>
      <w:r w:rsidR="00934053">
        <w:rPr>
          <w:rFonts w:ascii="Arial" w:hAnsi="Arial"/>
          <w:sz w:val="20"/>
          <w:lang w:val="en-GB"/>
        </w:rPr>
        <w:t>P</w:t>
      </w:r>
      <w:r w:rsidRPr="001E041C">
        <w:rPr>
          <w:rFonts w:ascii="Arial" w:hAnsi="Arial"/>
          <w:sz w:val="20"/>
          <w:lang w:val="en-GB"/>
        </w:rPr>
        <w:t xml:space="preserve">olicy shall </w:t>
      </w:r>
      <w:r w:rsidR="00934053">
        <w:rPr>
          <w:rFonts w:ascii="Arial" w:hAnsi="Arial"/>
          <w:sz w:val="20"/>
          <w:lang w:val="en-GB"/>
        </w:rPr>
        <w:t>take effect</w:t>
      </w:r>
      <w:r w:rsidRPr="001E041C">
        <w:rPr>
          <w:rFonts w:ascii="Arial" w:hAnsi="Arial"/>
          <w:sz w:val="20"/>
          <w:lang w:val="en-GB"/>
        </w:rPr>
        <w:t xml:space="preserve"> after its approval by the General </w:t>
      </w:r>
      <w:r w:rsidR="00934053">
        <w:rPr>
          <w:rFonts w:ascii="Arial" w:hAnsi="Arial"/>
          <w:sz w:val="20"/>
          <w:lang w:val="en-GB"/>
        </w:rPr>
        <w:t>M</w:t>
      </w:r>
      <w:r w:rsidRPr="001E041C">
        <w:rPr>
          <w:rFonts w:ascii="Arial" w:hAnsi="Arial"/>
          <w:sz w:val="20"/>
          <w:lang w:val="en-GB"/>
        </w:rPr>
        <w:t xml:space="preserve">eeting of Shareholders unless the General </w:t>
      </w:r>
      <w:r w:rsidR="00934053">
        <w:rPr>
          <w:rFonts w:ascii="Arial" w:hAnsi="Arial"/>
          <w:sz w:val="20"/>
          <w:lang w:val="en-GB"/>
        </w:rPr>
        <w:t>M</w:t>
      </w:r>
      <w:r w:rsidRPr="001E041C">
        <w:rPr>
          <w:rFonts w:ascii="Arial" w:hAnsi="Arial"/>
          <w:sz w:val="20"/>
          <w:lang w:val="en-GB"/>
        </w:rPr>
        <w:t xml:space="preserve">eeting of Shareholders specifies </w:t>
      </w:r>
      <w:r w:rsidR="00934053">
        <w:rPr>
          <w:rFonts w:ascii="Arial" w:hAnsi="Arial"/>
          <w:sz w:val="20"/>
          <w:lang w:val="en-GB"/>
        </w:rPr>
        <w:t>another</w:t>
      </w:r>
      <w:r w:rsidRPr="001E041C">
        <w:rPr>
          <w:rFonts w:ascii="Arial" w:hAnsi="Arial"/>
          <w:sz w:val="20"/>
          <w:lang w:val="en-GB"/>
        </w:rPr>
        <w:t xml:space="preserve"> effective date of the </w:t>
      </w:r>
      <w:r w:rsidR="00934053">
        <w:rPr>
          <w:rFonts w:ascii="Arial" w:hAnsi="Arial"/>
          <w:sz w:val="20"/>
          <w:lang w:val="en-GB"/>
        </w:rPr>
        <w:t>R</w:t>
      </w:r>
      <w:r w:rsidRPr="001E041C">
        <w:rPr>
          <w:rFonts w:ascii="Arial" w:hAnsi="Arial"/>
          <w:sz w:val="20"/>
          <w:lang w:val="en-GB"/>
        </w:rPr>
        <w:t xml:space="preserve">emuneration </w:t>
      </w:r>
      <w:r w:rsidR="00934053">
        <w:rPr>
          <w:rFonts w:ascii="Arial" w:hAnsi="Arial"/>
          <w:sz w:val="20"/>
          <w:lang w:val="en-GB"/>
        </w:rPr>
        <w:t>P</w:t>
      </w:r>
      <w:r w:rsidRPr="001E041C">
        <w:rPr>
          <w:rFonts w:ascii="Arial" w:hAnsi="Arial"/>
          <w:sz w:val="20"/>
          <w:lang w:val="en-GB"/>
        </w:rPr>
        <w:t>olicy.</w:t>
      </w:r>
    </w:p>
    <w:p w14:paraId="78C53DD4" w14:textId="77777777" w:rsidR="0055592A" w:rsidRPr="001E041C" w:rsidRDefault="0055592A" w:rsidP="0055592A">
      <w:pPr>
        <w:ind w:left="792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41E1DC4F" w14:textId="77777777" w:rsidR="0055592A" w:rsidRPr="001E041C" w:rsidRDefault="0055592A" w:rsidP="0055592A">
      <w:pPr>
        <w:numPr>
          <w:ilvl w:val="1"/>
          <w:numId w:val="5"/>
        </w:num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1E041C">
        <w:rPr>
          <w:rFonts w:ascii="Arial" w:hAnsi="Arial"/>
          <w:sz w:val="20"/>
          <w:lang w:val="en-GB"/>
        </w:rPr>
        <w:t xml:space="preserve">The </w:t>
      </w:r>
      <w:r w:rsidR="00934053">
        <w:rPr>
          <w:rFonts w:ascii="Arial" w:hAnsi="Arial"/>
          <w:sz w:val="20"/>
          <w:lang w:val="en-GB"/>
        </w:rPr>
        <w:t>R</w:t>
      </w:r>
      <w:r w:rsidRPr="001E041C">
        <w:rPr>
          <w:rFonts w:ascii="Arial" w:hAnsi="Arial"/>
          <w:sz w:val="20"/>
          <w:lang w:val="en-GB"/>
        </w:rPr>
        <w:t xml:space="preserve">emuneration </w:t>
      </w:r>
      <w:r w:rsidR="00934053">
        <w:rPr>
          <w:rFonts w:ascii="Arial" w:hAnsi="Arial"/>
          <w:sz w:val="20"/>
          <w:lang w:val="en-GB"/>
        </w:rPr>
        <w:t>Policy shall be</w:t>
      </w:r>
      <w:r w:rsidRPr="001E041C">
        <w:rPr>
          <w:rFonts w:ascii="Arial" w:hAnsi="Arial"/>
          <w:sz w:val="20"/>
          <w:lang w:val="en-GB"/>
        </w:rPr>
        <w:t xml:space="preserve"> published on the website of the </w:t>
      </w:r>
      <w:r w:rsidR="00934053">
        <w:rPr>
          <w:rFonts w:ascii="Arial" w:hAnsi="Arial"/>
          <w:sz w:val="20"/>
          <w:lang w:val="en-GB"/>
        </w:rPr>
        <w:t>C</w:t>
      </w:r>
      <w:r w:rsidRPr="001E041C">
        <w:rPr>
          <w:rFonts w:ascii="Arial" w:hAnsi="Arial"/>
          <w:sz w:val="20"/>
          <w:lang w:val="en-GB"/>
        </w:rPr>
        <w:t>ompany.</w:t>
      </w:r>
    </w:p>
    <w:p w14:paraId="10CDAAED" w14:textId="77777777" w:rsidR="0055592A" w:rsidRPr="001E041C" w:rsidRDefault="0055592A" w:rsidP="0055592A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14:paraId="3D2312F9" w14:textId="77777777" w:rsidR="00805FA3" w:rsidRPr="001E041C" w:rsidRDefault="00805FA3" w:rsidP="00E271DF">
      <w:pPr>
        <w:pStyle w:val="Header"/>
        <w:tabs>
          <w:tab w:val="clear" w:pos="4153"/>
          <w:tab w:val="clear" w:pos="8306"/>
        </w:tabs>
        <w:spacing w:before="120" w:after="120"/>
        <w:jc w:val="both"/>
        <w:rPr>
          <w:rFonts w:ascii="Arial" w:hAnsi="Arial" w:cs="Arial"/>
          <w:bCs/>
          <w:sz w:val="20"/>
          <w:szCs w:val="20"/>
          <w:lang w:val="en-GB"/>
        </w:rPr>
      </w:pPr>
    </w:p>
    <w:sectPr w:rsidR="00805FA3" w:rsidRPr="001E041C" w:rsidSect="006F2892">
      <w:headerReference w:type="default" r:id="rId11"/>
      <w:footerReference w:type="default" r:id="rId12"/>
      <w:pgSz w:w="11906" w:h="16838" w:code="9"/>
      <w:pgMar w:top="1440" w:right="924" w:bottom="1440" w:left="1259" w:header="357" w:footer="4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0C520" w14:textId="77777777" w:rsidR="007A2DC1" w:rsidRDefault="007A2DC1">
      <w:r>
        <w:separator/>
      </w:r>
    </w:p>
  </w:endnote>
  <w:endnote w:type="continuationSeparator" w:id="0">
    <w:p w14:paraId="26DFC38A" w14:textId="77777777" w:rsidR="007A2DC1" w:rsidRDefault="007A2DC1">
      <w:r>
        <w:continuationSeparator/>
      </w:r>
    </w:p>
  </w:endnote>
  <w:endnote w:type="continuationNotice" w:id="1">
    <w:p w14:paraId="2500346B" w14:textId="77777777" w:rsidR="007A2DC1" w:rsidRDefault="007A2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E24F0" w14:textId="77777777" w:rsidR="00981835" w:rsidRPr="00737050" w:rsidRDefault="00981835" w:rsidP="00AD7CEF">
    <w:pPr>
      <w:pStyle w:val="Footer"/>
      <w:jc w:val="right"/>
      <w:rPr>
        <w:rFonts w:ascii="Palatino Linotype" w:hAnsi="Palatino Linotype"/>
        <w:i/>
        <w:sz w:val="18"/>
        <w:szCs w:val="18"/>
      </w:rPr>
    </w:pPr>
    <w:r>
      <w:rPr>
        <w:rStyle w:val="PageNumber"/>
        <w:rFonts w:ascii="Palatino Linotype" w:hAnsi="Palatino Linotype"/>
        <w:i/>
        <w:sz w:val="18"/>
      </w:rPr>
      <w:t xml:space="preserve"> Page </w:t>
    </w:r>
    <w:r w:rsidRPr="00737050">
      <w:rPr>
        <w:rStyle w:val="PageNumber"/>
        <w:rFonts w:ascii="Palatino Linotype" w:hAnsi="Palatino Linotype"/>
        <w:i/>
        <w:sz w:val="18"/>
      </w:rPr>
      <w:fldChar w:fldCharType="begin"/>
    </w:r>
    <w:r w:rsidRPr="00737050">
      <w:rPr>
        <w:rStyle w:val="PageNumber"/>
        <w:rFonts w:ascii="Palatino Linotype" w:hAnsi="Palatino Linotype"/>
        <w:i/>
        <w:sz w:val="18"/>
      </w:rPr>
      <w:instrText xml:space="preserve"> PAGE </w:instrText>
    </w:r>
    <w:r w:rsidRPr="00737050">
      <w:rPr>
        <w:rStyle w:val="PageNumber"/>
        <w:rFonts w:ascii="Palatino Linotype" w:hAnsi="Palatino Linotype"/>
        <w:i/>
        <w:sz w:val="18"/>
      </w:rPr>
      <w:fldChar w:fldCharType="separate"/>
    </w:r>
    <w:r w:rsidR="00046C73">
      <w:rPr>
        <w:rStyle w:val="PageNumber"/>
        <w:rFonts w:ascii="Palatino Linotype" w:hAnsi="Palatino Linotype"/>
        <w:i/>
        <w:noProof/>
        <w:sz w:val="18"/>
      </w:rPr>
      <w:t>4</w:t>
    </w:r>
    <w:r w:rsidRPr="00737050">
      <w:rPr>
        <w:rStyle w:val="PageNumber"/>
        <w:rFonts w:ascii="Palatino Linotype" w:hAnsi="Palatino Linotype"/>
        <w:i/>
        <w:sz w:val="18"/>
      </w:rPr>
      <w:fldChar w:fldCharType="end"/>
    </w:r>
    <w:r w:rsidR="00A55BAF">
      <w:rPr>
        <w:rStyle w:val="PageNumber"/>
        <w:rFonts w:ascii="Palatino Linotype" w:hAnsi="Palatino Linotype"/>
        <w:i/>
        <w:sz w:val="18"/>
      </w:rPr>
      <w:t xml:space="preserve"> of </w:t>
    </w:r>
    <w:r w:rsidRPr="00737050">
      <w:rPr>
        <w:rStyle w:val="PageNumber"/>
        <w:rFonts w:ascii="Palatino Linotype" w:hAnsi="Palatino Linotype"/>
        <w:i/>
        <w:sz w:val="18"/>
      </w:rPr>
      <w:fldChar w:fldCharType="begin"/>
    </w:r>
    <w:r w:rsidRPr="00737050">
      <w:rPr>
        <w:rStyle w:val="PageNumber"/>
        <w:rFonts w:ascii="Palatino Linotype" w:hAnsi="Palatino Linotype"/>
        <w:i/>
        <w:sz w:val="18"/>
      </w:rPr>
      <w:instrText xml:space="preserve"> NUMPAGES </w:instrText>
    </w:r>
    <w:r w:rsidRPr="00737050">
      <w:rPr>
        <w:rStyle w:val="PageNumber"/>
        <w:rFonts w:ascii="Palatino Linotype" w:hAnsi="Palatino Linotype"/>
        <w:i/>
        <w:sz w:val="18"/>
      </w:rPr>
      <w:fldChar w:fldCharType="separate"/>
    </w:r>
    <w:r w:rsidR="00046C73">
      <w:rPr>
        <w:rStyle w:val="PageNumber"/>
        <w:rFonts w:ascii="Palatino Linotype" w:hAnsi="Palatino Linotype"/>
        <w:i/>
        <w:noProof/>
        <w:sz w:val="18"/>
      </w:rPr>
      <w:t>4</w:t>
    </w:r>
    <w:r w:rsidRPr="00737050">
      <w:rPr>
        <w:rStyle w:val="PageNumber"/>
        <w:rFonts w:ascii="Palatino Linotype" w:hAnsi="Palatino Linotype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31BFE" w14:textId="77777777" w:rsidR="007A2DC1" w:rsidRDefault="007A2DC1">
      <w:r>
        <w:separator/>
      </w:r>
    </w:p>
  </w:footnote>
  <w:footnote w:type="continuationSeparator" w:id="0">
    <w:p w14:paraId="62C021F0" w14:textId="77777777" w:rsidR="007A2DC1" w:rsidRDefault="007A2DC1">
      <w:r>
        <w:continuationSeparator/>
      </w:r>
    </w:p>
  </w:footnote>
  <w:footnote w:type="continuationNotice" w:id="1">
    <w:p w14:paraId="3D6DD88A" w14:textId="77777777" w:rsidR="007A2DC1" w:rsidRDefault="007A2D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6842" w14:textId="286E1863" w:rsidR="00981835" w:rsidRDefault="00981835" w:rsidP="00771D58">
    <w:pPr>
      <w:pStyle w:val="Header"/>
      <w:jc w:val="right"/>
      <w:rPr>
        <w:rFonts w:ascii="Palatino Linotype" w:hAnsi="Palatino Linotype"/>
        <w:i/>
        <w:sz w:val="16"/>
        <w:szCs w:val="16"/>
      </w:rPr>
    </w:pPr>
  </w:p>
  <w:p w14:paraId="1755A537" w14:textId="77777777" w:rsidR="00981835" w:rsidRPr="004A0A94" w:rsidRDefault="00981835" w:rsidP="007D6853">
    <w:pPr>
      <w:pStyle w:val="Header"/>
      <w:jc w:val="center"/>
      <w:rPr>
        <w:rFonts w:ascii="Palatino Linotype" w:hAnsi="Palatino Linotype"/>
        <w:i/>
        <w:sz w:val="16"/>
        <w:szCs w:val="16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9pt;height:9pt" o:bullet="t">
        <v:imagedata r:id="rId1" o:title="clip_image001"/>
      </v:shape>
    </w:pict>
  </w:numPicBullet>
  <w:abstractNum w:abstractNumId="0" w15:restartNumberingAfterBreak="0">
    <w:nsid w:val="01B11B4E"/>
    <w:multiLevelType w:val="multilevel"/>
    <w:tmpl w:val="CF6AC3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1C2E4990"/>
    <w:multiLevelType w:val="hybridMultilevel"/>
    <w:tmpl w:val="AC1AF5D0"/>
    <w:lvl w:ilvl="0" w:tplc="BED8EF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0E28A6"/>
    <w:multiLevelType w:val="hybridMultilevel"/>
    <w:tmpl w:val="DFCAD5C2"/>
    <w:lvl w:ilvl="0" w:tplc="042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10A96"/>
    <w:multiLevelType w:val="hybridMultilevel"/>
    <w:tmpl w:val="80828E42"/>
    <w:lvl w:ilvl="0" w:tplc="042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611F7"/>
    <w:multiLevelType w:val="multilevel"/>
    <w:tmpl w:val="B734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A1513C3"/>
    <w:multiLevelType w:val="multilevel"/>
    <w:tmpl w:val="6582BDF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63AC08E2"/>
    <w:multiLevelType w:val="multilevel"/>
    <w:tmpl w:val="DFAC7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53"/>
    <w:rsid w:val="000015E6"/>
    <w:rsid w:val="0000185B"/>
    <w:rsid w:val="00003659"/>
    <w:rsid w:val="00003BA2"/>
    <w:rsid w:val="00005EF8"/>
    <w:rsid w:val="00006AD1"/>
    <w:rsid w:val="00006D95"/>
    <w:rsid w:val="00012137"/>
    <w:rsid w:val="000123D1"/>
    <w:rsid w:val="00012A8F"/>
    <w:rsid w:val="000130E0"/>
    <w:rsid w:val="00013348"/>
    <w:rsid w:val="00014044"/>
    <w:rsid w:val="00015547"/>
    <w:rsid w:val="00017B71"/>
    <w:rsid w:val="00020CD3"/>
    <w:rsid w:val="00021FD6"/>
    <w:rsid w:val="000220F0"/>
    <w:rsid w:val="00024A0A"/>
    <w:rsid w:val="00026E8F"/>
    <w:rsid w:val="0002701D"/>
    <w:rsid w:val="0002743E"/>
    <w:rsid w:val="00027F80"/>
    <w:rsid w:val="00030589"/>
    <w:rsid w:val="00031F65"/>
    <w:rsid w:val="0003368A"/>
    <w:rsid w:val="00034069"/>
    <w:rsid w:val="000364A8"/>
    <w:rsid w:val="00037431"/>
    <w:rsid w:val="00041704"/>
    <w:rsid w:val="00041CD7"/>
    <w:rsid w:val="000425E1"/>
    <w:rsid w:val="00042A07"/>
    <w:rsid w:val="00043629"/>
    <w:rsid w:val="00045652"/>
    <w:rsid w:val="00046C73"/>
    <w:rsid w:val="00046D82"/>
    <w:rsid w:val="000508FE"/>
    <w:rsid w:val="00050B3F"/>
    <w:rsid w:val="0005360E"/>
    <w:rsid w:val="00054A0C"/>
    <w:rsid w:val="0005770A"/>
    <w:rsid w:val="000603FF"/>
    <w:rsid w:val="00062D5C"/>
    <w:rsid w:val="00065791"/>
    <w:rsid w:val="0006661C"/>
    <w:rsid w:val="00072E8E"/>
    <w:rsid w:val="00074206"/>
    <w:rsid w:val="000747C7"/>
    <w:rsid w:val="00080E07"/>
    <w:rsid w:val="000837C0"/>
    <w:rsid w:val="00084DC8"/>
    <w:rsid w:val="00086C50"/>
    <w:rsid w:val="00087301"/>
    <w:rsid w:val="00087831"/>
    <w:rsid w:val="00090F4B"/>
    <w:rsid w:val="00091E87"/>
    <w:rsid w:val="000923A8"/>
    <w:rsid w:val="000943C8"/>
    <w:rsid w:val="0009528B"/>
    <w:rsid w:val="0009701C"/>
    <w:rsid w:val="000A008B"/>
    <w:rsid w:val="000A057B"/>
    <w:rsid w:val="000A0683"/>
    <w:rsid w:val="000A6977"/>
    <w:rsid w:val="000A732C"/>
    <w:rsid w:val="000A7CEE"/>
    <w:rsid w:val="000B0E11"/>
    <w:rsid w:val="000B5A5B"/>
    <w:rsid w:val="000B6E3C"/>
    <w:rsid w:val="000C30A7"/>
    <w:rsid w:val="000C4F16"/>
    <w:rsid w:val="000C646A"/>
    <w:rsid w:val="000D0321"/>
    <w:rsid w:val="000D4DC6"/>
    <w:rsid w:val="000D6BDA"/>
    <w:rsid w:val="000D6C9F"/>
    <w:rsid w:val="000E209D"/>
    <w:rsid w:val="000E6F0B"/>
    <w:rsid w:val="000E7180"/>
    <w:rsid w:val="000F1731"/>
    <w:rsid w:val="000F1A13"/>
    <w:rsid w:val="000F23F7"/>
    <w:rsid w:val="000F39AA"/>
    <w:rsid w:val="000F4809"/>
    <w:rsid w:val="000F5048"/>
    <w:rsid w:val="000F6A4F"/>
    <w:rsid w:val="00100E7E"/>
    <w:rsid w:val="0010279D"/>
    <w:rsid w:val="00103180"/>
    <w:rsid w:val="00104BCE"/>
    <w:rsid w:val="001059CE"/>
    <w:rsid w:val="00105BED"/>
    <w:rsid w:val="00107F29"/>
    <w:rsid w:val="00111CC9"/>
    <w:rsid w:val="0011514C"/>
    <w:rsid w:val="00116B41"/>
    <w:rsid w:val="00117543"/>
    <w:rsid w:val="00121822"/>
    <w:rsid w:val="00121EC4"/>
    <w:rsid w:val="00122834"/>
    <w:rsid w:val="00124538"/>
    <w:rsid w:val="00125184"/>
    <w:rsid w:val="00126DEA"/>
    <w:rsid w:val="00127C04"/>
    <w:rsid w:val="001306A3"/>
    <w:rsid w:val="001325D2"/>
    <w:rsid w:val="00141680"/>
    <w:rsid w:val="001434BA"/>
    <w:rsid w:val="0014504F"/>
    <w:rsid w:val="001512F8"/>
    <w:rsid w:val="00152061"/>
    <w:rsid w:val="00153025"/>
    <w:rsid w:val="0015776A"/>
    <w:rsid w:val="001600D5"/>
    <w:rsid w:val="00160786"/>
    <w:rsid w:val="001644D9"/>
    <w:rsid w:val="001646F8"/>
    <w:rsid w:val="00164726"/>
    <w:rsid w:val="00165A46"/>
    <w:rsid w:val="001669C9"/>
    <w:rsid w:val="00170154"/>
    <w:rsid w:val="00171059"/>
    <w:rsid w:val="001711E4"/>
    <w:rsid w:val="001713B4"/>
    <w:rsid w:val="001727A7"/>
    <w:rsid w:val="00172AC8"/>
    <w:rsid w:val="001806B0"/>
    <w:rsid w:val="00180A7C"/>
    <w:rsid w:val="00181C15"/>
    <w:rsid w:val="00183BA9"/>
    <w:rsid w:val="001842D6"/>
    <w:rsid w:val="00186F7B"/>
    <w:rsid w:val="001906FB"/>
    <w:rsid w:val="00190A10"/>
    <w:rsid w:val="001929C3"/>
    <w:rsid w:val="001943A9"/>
    <w:rsid w:val="001944AC"/>
    <w:rsid w:val="001A064D"/>
    <w:rsid w:val="001A0806"/>
    <w:rsid w:val="001A2340"/>
    <w:rsid w:val="001A4069"/>
    <w:rsid w:val="001A4AB3"/>
    <w:rsid w:val="001A57AA"/>
    <w:rsid w:val="001B08E2"/>
    <w:rsid w:val="001B33F5"/>
    <w:rsid w:val="001B509B"/>
    <w:rsid w:val="001B597F"/>
    <w:rsid w:val="001B5D42"/>
    <w:rsid w:val="001C6755"/>
    <w:rsid w:val="001D1C3D"/>
    <w:rsid w:val="001D1FBB"/>
    <w:rsid w:val="001D64C9"/>
    <w:rsid w:val="001D7A6E"/>
    <w:rsid w:val="001E041C"/>
    <w:rsid w:val="001E34E9"/>
    <w:rsid w:val="001E51FA"/>
    <w:rsid w:val="001F16F7"/>
    <w:rsid w:val="001F1E11"/>
    <w:rsid w:val="001F32CE"/>
    <w:rsid w:val="001F3E7F"/>
    <w:rsid w:val="001F427A"/>
    <w:rsid w:val="001F50E3"/>
    <w:rsid w:val="00200352"/>
    <w:rsid w:val="00200975"/>
    <w:rsid w:val="0020097E"/>
    <w:rsid w:val="00200F5C"/>
    <w:rsid w:val="00202233"/>
    <w:rsid w:val="00202E1B"/>
    <w:rsid w:val="00203C1C"/>
    <w:rsid w:val="0020750A"/>
    <w:rsid w:val="00210B12"/>
    <w:rsid w:val="0021114B"/>
    <w:rsid w:val="002125F1"/>
    <w:rsid w:val="00212BDC"/>
    <w:rsid w:val="0021375E"/>
    <w:rsid w:val="00217BE0"/>
    <w:rsid w:val="00217DF0"/>
    <w:rsid w:val="00221B67"/>
    <w:rsid w:val="00222E13"/>
    <w:rsid w:val="002255FB"/>
    <w:rsid w:val="002308DA"/>
    <w:rsid w:val="00231B54"/>
    <w:rsid w:val="00234FB0"/>
    <w:rsid w:val="00236426"/>
    <w:rsid w:val="00242A6C"/>
    <w:rsid w:val="0024453E"/>
    <w:rsid w:val="00250028"/>
    <w:rsid w:val="002502E0"/>
    <w:rsid w:val="00251C9E"/>
    <w:rsid w:val="002532BA"/>
    <w:rsid w:val="00256919"/>
    <w:rsid w:val="0025734D"/>
    <w:rsid w:val="002613EE"/>
    <w:rsid w:val="0026465B"/>
    <w:rsid w:val="002702E9"/>
    <w:rsid w:val="00281232"/>
    <w:rsid w:val="00281830"/>
    <w:rsid w:val="00281F3C"/>
    <w:rsid w:val="00282D30"/>
    <w:rsid w:val="00283B44"/>
    <w:rsid w:val="00284869"/>
    <w:rsid w:val="00284C3F"/>
    <w:rsid w:val="002867AC"/>
    <w:rsid w:val="00287C8D"/>
    <w:rsid w:val="00287F99"/>
    <w:rsid w:val="00290198"/>
    <w:rsid w:val="00292016"/>
    <w:rsid w:val="002A087B"/>
    <w:rsid w:val="002A235F"/>
    <w:rsid w:val="002A4E66"/>
    <w:rsid w:val="002A763F"/>
    <w:rsid w:val="002A7CF1"/>
    <w:rsid w:val="002B1691"/>
    <w:rsid w:val="002B4AFC"/>
    <w:rsid w:val="002B7678"/>
    <w:rsid w:val="002B7BF6"/>
    <w:rsid w:val="002B7FC6"/>
    <w:rsid w:val="002D3282"/>
    <w:rsid w:val="002D35AB"/>
    <w:rsid w:val="002D4FD4"/>
    <w:rsid w:val="002D5420"/>
    <w:rsid w:val="002D5E38"/>
    <w:rsid w:val="002D62FF"/>
    <w:rsid w:val="002E02F2"/>
    <w:rsid w:val="002E1548"/>
    <w:rsid w:val="002E4499"/>
    <w:rsid w:val="002E592E"/>
    <w:rsid w:val="002E612F"/>
    <w:rsid w:val="002E6183"/>
    <w:rsid w:val="002E6355"/>
    <w:rsid w:val="002E76CD"/>
    <w:rsid w:val="002E7DC4"/>
    <w:rsid w:val="002F052C"/>
    <w:rsid w:val="002F20B7"/>
    <w:rsid w:val="002F38A1"/>
    <w:rsid w:val="002F42AA"/>
    <w:rsid w:val="002F5C0E"/>
    <w:rsid w:val="002F704D"/>
    <w:rsid w:val="00300572"/>
    <w:rsid w:val="00301001"/>
    <w:rsid w:val="003116C9"/>
    <w:rsid w:val="00311A97"/>
    <w:rsid w:val="0031478F"/>
    <w:rsid w:val="00314F3B"/>
    <w:rsid w:val="0031746E"/>
    <w:rsid w:val="0031768C"/>
    <w:rsid w:val="00321796"/>
    <w:rsid w:val="003217BD"/>
    <w:rsid w:val="0032556A"/>
    <w:rsid w:val="00327BCB"/>
    <w:rsid w:val="00343CC4"/>
    <w:rsid w:val="00344989"/>
    <w:rsid w:val="003453D9"/>
    <w:rsid w:val="00347734"/>
    <w:rsid w:val="00351BD0"/>
    <w:rsid w:val="00352711"/>
    <w:rsid w:val="003543A7"/>
    <w:rsid w:val="0035724B"/>
    <w:rsid w:val="00360951"/>
    <w:rsid w:val="00362265"/>
    <w:rsid w:val="0036258F"/>
    <w:rsid w:val="00364BB1"/>
    <w:rsid w:val="00370CCA"/>
    <w:rsid w:val="00371F14"/>
    <w:rsid w:val="00372D47"/>
    <w:rsid w:val="00372D7E"/>
    <w:rsid w:val="00373539"/>
    <w:rsid w:val="00374102"/>
    <w:rsid w:val="0038384B"/>
    <w:rsid w:val="00390FA3"/>
    <w:rsid w:val="00391C75"/>
    <w:rsid w:val="00391E8E"/>
    <w:rsid w:val="003923E7"/>
    <w:rsid w:val="003925E2"/>
    <w:rsid w:val="00392C4B"/>
    <w:rsid w:val="0039371D"/>
    <w:rsid w:val="00393857"/>
    <w:rsid w:val="00394989"/>
    <w:rsid w:val="003969E7"/>
    <w:rsid w:val="00397266"/>
    <w:rsid w:val="003A0BF9"/>
    <w:rsid w:val="003A0D4D"/>
    <w:rsid w:val="003A297E"/>
    <w:rsid w:val="003A55AB"/>
    <w:rsid w:val="003A636A"/>
    <w:rsid w:val="003A68E2"/>
    <w:rsid w:val="003A699E"/>
    <w:rsid w:val="003A6FED"/>
    <w:rsid w:val="003B006A"/>
    <w:rsid w:val="003B3586"/>
    <w:rsid w:val="003B374C"/>
    <w:rsid w:val="003B4712"/>
    <w:rsid w:val="003C0A18"/>
    <w:rsid w:val="003C0FD1"/>
    <w:rsid w:val="003C15CB"/>
    <w:rsid w:val="003C3778"/>
    <w:rsid w:val="003C50EE"/>
    <w:rsid w:val="003C787E"/>
    <w:rsid w:val="003D1490"/>
    <w:rsid w:val="003D1C7E"/>
    <w:rsid w:val="003D2D91"/>
    <w:rsid w:val="003D4B6C"/>
    <w:rsid w:val="003D529B"/>
    <w:rsid w:val="003D538C"/>
    <w:rsid w:val="003D5DBC"/>
    <w:rsid w:val="003D66C3"/>
    <w:rsid w:val="003D68CD"/>
    <w:rsid w:val="003D6C41"/>
    <w:rsid w:val="003E3646"/>
    <w:rsid w:val="003F1A28"/>
    <w:rsid w:val="003F1FEE"/>
    <w:rsid w:val="003F25A1"/>
    <w:rsid w:val="003F26BE"/>
    <w:rsid w:val="003F4623"/>
    <w:rsid w:val="004026E3"/>
    <w:rsid w:val="0040296A"/>
    <w:rsid w:val="004035DA"/>
    <w:rsid w:val="00403858"/>
    <w:rsid w:val="00403950"/>
    <w:rsid w:val="00403BD4"/>
    <w:rsid w:val="00403D41"/>
    <w:rsid w:val="00404975"/>
    <w:rsid w:val="00404BB0"/>
    <w:rsid w:val="004052D9"/>
    <w:rsid w:val="00406456"/>
    <w:rsid w:val="0040788C"/>
    <w:rsid w:val="0041137E"/>
    <w:rsid w:val="004120C9"/>
    <w:rsid w:val="00416CD0"/>
    <w:rsid w:val="004178B7"/>
    <w:rsid w:val="00420F11"/>
    <w:rsid w:val="00433AF3"/>
    <w:rsid w:val="00433BB1"/>
    <w:rsid w:val="0043472E"/>
    <w:rsid w:val="00440AA4"/>
    <w:rsid w:val="004413CE"/>
    <w:rsid w:val="00442EAF"/>
    <w:rsid w:val="00445F15"/>
    <w:rsid w:val="00447C1E"/>
    <w:rsid w:val="004504B0"/>
    <w:rsid w:val="0045052B"/>
    <w:rsid w:val="00451897"/>
    <w:rsid w:val="00452984"/>
    <w:rsid w:val="00452DF3"/>
    <w:rsid w:val="00452F36"/>
    <w:rsid w:val="004537DB"/>
    <w:rsid w:val="0045522F"/>
    <w:rsid w:val="004562FF"/>
    <w:rsid w:val="00461B1B"/>
    <w:rsid w:val="00462207"/>
    <w:rsid w:val="00463605"/>
    <w:rsid w:val="00463F96"/>
    <w:rsid w:val="00467318"/>
    <w:rsid w:val="0046788D"/>
    <w:rsid w:val="0047138A"/>
    <w:rsid w:val="00471A56"/>
    <w:rsid w:val="0047253A"/>
    <w:rsid w:val="00472E39"/>
    <w:rsid w:val="00473177"/>
    <w:rsid w:val="00473B09"/>
    <w:rsid w:val="00474526"/>
    <w:rsid w:val="00474AF2"/>
    <w:rsid w:val="004813D7"/>
    <w:rsid w:val="00481B42"/>
    <w:rsid w:val="0048361D"/>
    <w:rsid w:val="004836D5"/>
    <w:rsid w:val="0048448B"/>
    <w:rsid w:val="00485CB2"/>
    <w:rsid w:val="004861CD"/>
    <w:rsid w:val="0048753E"/>
    <w:rsid w:val="0049023E"/>
    <w:rsid w:val="004915CE"/>
    <w:rsid w:val="004919FF"/>
    <w:rsid w:val="0049285D"/>
    <w:rsid w:val="004928E8"/>
    <w:rsid w:val="00493B1E"/>
    <w:rsid w:val="004954C8"/>
    <w:rsid w:val="00496E9D"/>
    <w:rsid w:val="00497663"/>
    <w:rsid w:val="004977B8"/>
    <w:rsid w:val="004A0A94"/>
    <w:rsid w:val="004A387E"/>
    <w:rsid w:val="004B1D0D"/>
    <w:rsid w:val="004B45A1"/>
    <w:rsid w:val="004B60D0"/>
    <w:rsid w:val="004C0F4D"/>
    <w:rsid w:val="004C1123"/>
    <w:rsid w:val="004C1BA7"/>
    <w:rsid w:val="004D1A68"/>
    <w:rsid w:val="004D2AA8"/>
    <w:rsid w:val="004E48E1"/>
    <w:rsid w:val="004E7285"/>
    <w:rsid w:val="004F0F65"/>
    <w:rsid w:val="004F1218"/>
    <w:rsid w:val="004F3843"/>
    <w:rsid w:val="005002A2"/>
    <w:rsid w:val="00500B34"/>
    <w:rsid w:val="0050444E"/>
    <w:rsid w:val="0050499A"/>
    <w:rsid w:val="00504DBB"/>
    <w:rsid w:val="0051034E"/>
    <w:rsid w:val="005106D5"/>
    <w:rsid w:val="0051228D"/>
    <w:rsid w:val="005124BF"/>
    <w:rsid w:val="00513463"/>
    <w:rsid w:val="005146F8"/>
    <w:rsid w:val="0052125A"/>
    <w:rsid w:val="0052148A"/>
    <w:rsid w:val="00525567"/>
    <w:rsid w:val="00527F09"/>
    <w:rsid w:val="005336F2"/>
    <w:rsid w:val="0053577F"/>
    <w:rsid w:val="00536038"/>
    <w:rsid w:val="005364BB"/>
    <w:rsid w:val="005364F8"/>
    <w:rsid w:val="005369CE"/>
    <w:rsid w:val="00543360"/>
    <w:rsid w:val="00544FDC"/>
    <w:rsid w:val="0054656E"/>
    <w:rsid w:val="00547C46"/>
    <w:rsid w:val="0055592A"/>
    <w:rsid w:val="005574D3"/>
    <w:rsid w:val="00561418"/>
    <w:rsid w:val="00572294"/>
    <w:rsid w:val="00574948"/>
    <w:rsid w:val="00575448"/>
    <w:rsid w:val="00576E4E"/>
    <w:rsid w:val="0058002E"/>
    <w:rsid w:val="00580793"/>
    <w:rsid w:val="00580D43"/>
    <w:rsid w:val="00584369"/>
    <w:rsid w:val="00584647"/>
    <w:rsid w:val="005847D7"/>
    <w:rsid w:val="00585747"/>
    <w:rsid w:val="0058588A"/>
    <w:rsid w:val="00585A3B"/>
    <w:rsid w:val="00586A5A"/>
    <w:rsid w:val="00587FF3"/>
    <w:rsid w:val="00592959"/>
    <w:rsid w:val="00593BEC"/>
    <w:rsid w:val="00593FF7"/>
    <w:rsid w:val="00595189"/>
    <w:rsid w:val="0059575C"/>
    <w:rsid w:val="00597AE9"/>
    <w:rsid w:val="005A2BFC"/>
    <w:rsid w:val="005A2EFA"/>
    <w:rsid w:val="005A3F93"/>
    <w:rsid w:val="005A5C44"/>
    <w:rsid w:val="005A5DED"/>
    <w:rsid w:val="005A785A"/>
    <w:rsid w:val="005B1336"/>
    <w:rsid w:val="005B4F01"/>
    <w:rsid w:val="005B545C"/>
    <w:rsid w:val="005B7D75"/>
    <w:rsid w:val="005C24BD"/>
    <w:rsid w:val="005C579C"/>
    <w:rsid w:val="005C57EC"/>
    <w:rsid w:val="005C5A10"/>
    <w:rsid w:val="005C636F"/>
    <w:rsid w:val="005D5732"/>
    <w:rsid w:val="005D6179"/>
    <w:rsid w:val="005E0663"/>
    <w:rsid w:val="005E1A2C"/>
    <w:rsid w:val="005E1DB0"/>
    <w:rsid w:val="005E36AB"/>
    <w:rsid w:val="005E40FE"/>
    <w:rsid w:val="005E526E"/>
    <w:rsid w:val="005E6CC0"/>
    <w:rsid w:val="005E7BF3"/>
    <w:rsid w:val="005F4F27"/>
    <w:rsid w:val="005F7CA2"/>
    <w:rsid w:val="005F7D43"/>
    <w:rsid w:val="00602620"/>
    <w:rsid w:val="0060513C"/>
    <w:rsid w:val="00605196"/>
    <w:rsid w:val="00606787"/>
    <w:rsid w:val="0060720A"/>
    <w:rsid w:val="00611938"/>
    <w:rsid w:val="0061345B"/>
    <w:rsid w:val="00615F1B"/>
    <w:rsid w:val="00616B71"/>
    <w:rsid w:val="00622B17"/>
    <w:rsid w:val="006244A9"/>
    <w:rsid w:val="00624B3A"/>
    <w:rsid w:val="006270B1"/>
    <w:rsid w:val="00634714"/>
    <w:rsid w:val="00636A9B"/>
    <w:rsid w:val="006375E5"/>
    <w:rsid w:val="00637E48"/>
    <w:rsid w:val="00641BA5"/>
    <w:rsid w:val="0064283E"/>
    <w:rsid w:val="006429A6"/>
    <w:rsid w:val="006447A7"/>
    <w:rsid w:val="00645670"/>
    <w:rsid w:val="00645AED"/>
    <w:rsid w:val="00650790"/>
    <w:rsid w:val="00650E68"/>
    <w:rsid w:val="00654A58"/>
    <w:rsid w:val="006570F3"/>
    <w:rsid w:val="00657A14"/>
    <w:rsid w:val="00660F3C"/>
    <w:rsid w:val="00662A44"/>
    <w:rsid w:val="00662D5D"/>
    <w:rsid w:val="00663BD7"/>
    <w:rsid w:val="0066590F"/>
    <w:rsid w:val="00667104"/>
    <w:rsid w:val="00673884"/>
    <w:rsid w:val="0067450F"/>
    <w:rsid w:val="0067477C"/>
    <w:rsid w:val="0068262F"/>
    <w:rsid w:val="0069146C"/>
    <w:rsid w:val="00691BD6"/>
    <w:rsid w:val="00692A86"/>
    <w:rsid w:val="00695019"/>
    <w:rsid w:val="00696A0C"/>
    <w:rsid w:val="00697B33"/>
    <w:rsid w:val="006A1F19"/>
    <w:rsid w:val="006A36A5"/>
    <w:rsid w:val="006A3FA6"/>
    <w:rsid w:val="006B14E1"/>
    <w:rsid w:val="006B1929"/>
    <w:rsid w:val="006B438D"/>
    <w:rsid w:val="006B5E22"/>
    <w:rsid w:val="006C3D96"/>
    <w:rsid w:val="006C4868"/>
    <w:rsid w:val="006C51C8"/>
    <w:rsid w:val="006C56D8"/>
    <w:rsid w:val="006C7331"/>
    <w:rsid w:val="006D434B"/>
    <w:rsid w:val="006D4A57"/>
    <w:rsid w:val="006D521C"/>
    <w:rsid w:val="006D6676"/>
    <w:rsid w:val="006E3C30"/>
    <w:rsid w:val="006E633D"/>
    <w:rsid w:val="006E74D2"/>
    <w:rsid w:val="006F177C"/>
    <w:rsid w:val="006F2892"/>
    <w:rsid w:val="00700D06"/>
    <w:rsid w:val="0070244C"/>
    <w:rsid w:val="0070432D"/>
    <w:rsid w:val="0070493B"/>
    <w:rsid w:val="00706FD2"/>
    <w:rsid w:val="007073F2"/>
    <w:rsid w:val="00711B5A"/>
    <w:rsid w:val="00712C70"/>
    <w:rsid w:val="00712FA2"/>
    <w:rsid w:val="00714B3A"/>
    <w:rsid w:val="00720197"/>
    <w:rsid w:val="0072025C"/>
    <w:rsid w:val="007208B0"/>
    <w:rsid w:val="00723A32"/>
    <w:rsid w:val="00724771"/>
    <w:rsid w:val="0072642B"/>
    <w:rsid w:val="0073327B"/>
    <w:rsid w:val="00735BCD"/>
    <w:rsid w:val="00736C50"/>
    <w:rsid w:val="00737050"/>
    <w:rsid w:val="00737D5A"/>
    <w:rsid w:val="007408F2"/>
    <w:rsid w:val="007409DB"/>
    <w:rsid w:val="00741791"/>
    <w:rsid w:val="0074308B"/>
    <w:rsid w:val="00752A8C"/>
    <w:rsid w:val="007538A1"/>
    <w:rsid w:val="007540C0"/>
    <w:rsid w:val="007546E2"/>
    <w:rsid w:val="007549CC"/>
    <w:rsid w:val="00760945"/>
    <w:rsid w:val="00761BA5"/>
    <w:rsid w:val="0076262E"/>
    <w:rsid w:val="00763DEC"/>
    <w:rsid w:val="0076719F"/>
    <w:rsid w:val="00770C43"/>
    <w:rsid w:val="00771D58"/>
    <w:rsid w:val="00772B5F"/>
    <w:rsid w:val="00772F7F"/>
    <w:rsid w:val="00775CD8"/>
    <w:rsid w:val="0077704E"/>
    <w:rsid w:val="00777D52"/>
    <w:rsid w:val="00777D8D"/>
    <w:rsid w:val="00777E87"/>
    <w:rsid w:val="00781612"/>
    <w:rsid w:val="00781A79"/>
    <w:rsid w:val="007821E3"/>
    <w:rsid w:val="007830DA"/>
    <w:rsid w:val="00783782"/>
    <w:rsid w:val="00784DE1"/>
    <w:rsid w:val="00784FC2"/>
    <w:rsid w:val="00791E9A"/>
    <w:rsid w:val="007924E9"/>
    <w:rsid w:val="00793522"/>
    <w:rsid w:val="0079658B"/>
    <w:rsid w:val="007A12DE"/>
    <w:rsid w:val="007A2DC1"/>
    <w:rsid w:val="007B11FD"/>
    <w:rsid w:val="007B6CE4"/>
    <w:rsid w:val="007B705E"/>
    <w:rsid w:val="007C0C18"/>
    <w:rsid w:val="007C2D02"/>
    <w:rsid w:val="007C673A"/>
    <w:rsid w:val="007D280E"/>
    <w:rsid w:val="007D3848"/>
    <w:rsid w:val="007D53E1"/>
    <w:rsid w:val="007D6853"/>
    <w:rsid w:val="007D7996"/>
    <w:rsid w:val="007E0CE2"/>
    <w:rsid w:val="007E0F50"/>
    <w:rsid w:val="007E1BE7"/>
    <w:rsid w:val="007E2531"/>
    <w:rsid w:val="007E5288"/>
    <w:rsid w:val="007F209F"/>
    <w:rsid w:val="0080453B"/>
    <w:rsid w:val="00805FA3"/>
    <w:rsid w:val="00807FAB"/>
    <w:rsid w:val="00810943"/>
    <w:rsid w:val="0081166B"/>
    <w:rsid w:val="00813153"/>
    <w:rsid w:val="00814F53"/>
    <w:rsid w:val="00816022"/>
    <w:rsid w:val="00817085"/>
    <w:rsid w:val="00817FC4"/>
    <w:rsid w:val="00824A8E"/>
    <w:rsid w:val="008262C0"/>
    <w:rsid w:val="00830301"/>
    <w:rsid w:val="00831D47"/>
    <w:rsid w:val="00831F1E"/>
    <w:rsid w:val="0083376C"/>
    <w:rsid w:val="00833960"/>
    <w:rsid w:val="00835CA4"/>
    <w:rsid w:val="008361E4"/>
    <w:rsid w:val="00836BFB"/>
    <w:rsid w:val="00837A5A"/>
    <w:rsid w:val="008408A9"/>
    <w:rsid w:val="0084294F"/>
    <w:rsid w:val="00843DD8"/>
    <w:rsid w:val="00845E0B"/>
    <w:rsid w:val="00850104"/>
    <w:rsid w:val="00852462"/>
    <w:rsid w:val="00854DC4"/>
    <w:rsid w:val="008551E1"/>
    <w:rsid w:val="00855EBD"/>
    <w:rsid w:val="00860D5A"/>
    <w:rsid w:val="008660AC"/>
    <w:rsid w:val="00872C6B"/>
    <w:rsid w:val="00874CD5"/>
    <w:rsid w:val="0087715F"/>
    <w:rsid w:val="008775EB"/>
    <w:rsid w:val="00881B79"/>
    <w:rsid w:val="00881BF8"/>
    <w:rsid w:val="00882473"/>
    <w:rsid w:val="008827E0"/>
    <w:rsid w:val="008834F8"/>
    <w:rsid w:val="00884729"/>
    <w:rsid w:val="00884B32"/>
    <w:rsid w:val="0088623E"/>
    <w:rsid w:val="008901BE"/>
    <w:rsid w:val="008908C9"/>
    <w:rsid w:val="00892DF8"/>
    <w:rsid w:val="00894247"/>
    <w:rsid w:val="008972B4"/>
    <w:rsid w:val="008A62E8"/>
    <w:rsid w:val="008A6A38"/>
    <w:rsid w:val="008B0DBD"/>
    <w:rsid w:val="008B0F41"/>
    <w:rsid w:val="008B1E7D"/>
    <w:rsid w:val="008B2C3C"/>
    <w:rsid w:val="008B4C9D"/>
    <w:rsid w:val="008B5543"/>
    <w:rsid w:val="008B597E"/>
    <w:rsid w:val="008B5D16"/>
    <w:rsid w:val="008C01A8"/>
    <w:rsid w:val="008C2729"/>
    <w:rsid w:val="008C6230"/>
    <w:rsid w:val="008C7CFC"/>
    <w:rsid w:val="008D01FA"/>
    <w:rsid w:val="008D1B40"/>
    <w:rsid w:val="008D24C6"/>
    <w:rsid w:val="008D3E20"/>
    <w:rsid w:val="008D420F"/>
    <w:rsid w:val="008D4BE8"/>
    <w:rsid w:val="008D50C5"/>
    <w:rsid w:val="008D7F90"/>
    <w:rsid w:val="008E18E5"/>
    <w:rsid w:val="008E2F41"/>
    <w:rsid w:val="008E4DCB"/>
    <w:rsid w:val="008E52D2"/>
    <w:rsid w:val="008E5E84"/>
    <w:rsid w:val="008F3954"/>
    <w:rsid w:val="008F4E7F"/>
    <w:rsid w:val="008F7076"/>
    <w:rsid w:val="00901FAF"/>
    <w:rsid w:val="00904428"/>
    <w:rsid w:val="009044D0"/>
    <w:rsid w:val="009051C1"/>
    <w:rsid w:val="00906ED5"/>
    <w:rsid w:val="00907898"/>
    <w:rsid w:val="0091009C"/>
    <w:rsid w:val="009101D7"/>
    <w:rsid w:val="00910704"/>
    <w:rsid w:val="00911D61"/>
    <w:rsid w:val="00922366"/>
    <w:rsid w:val="00925661"/>
    <w:rsid w:val="00927887"/>
    <w:rsid w:val="00931C27"/>
    <w:rsid w:val="00932DCD"/>
    <w:rsid w:val="009330D6"/>
    <w:rsid w:val="00934053"/>
    <w:rsid w:val="00935F00"/>
    <w:rsid w:val="00936ECD"/>
    <w:rsid w:val="00937A1F"/>
    <w:rsid w:val="009455AA"/>
    <w:rsid w:val="00945968"/>
    <w:rsid w:val="009479EF"/>
    <w:rsid w:val="00951248"/>
    <w:rsid w:val="00957DBF"/>
    <w:rsid w:val="0096000F"/>
    <w:rsid w:val="00960BA7"/>
    <w:rsid w:val="0096256A"/>
    <w:rsid w:val="00963958"/>
    <w:rsid w:val="0097087E"/>
    <w:rsid w:val="00971912"/>
    <w:rsid w:val="00972A06"/>
    <w:rsid w:val="00973732"/>
    <w:rsid w:val="00973DA7"/>
    <w:rsid w:val="00976E0F"/>
    <w:rsid w:val="0098112E"/>
    <w:rsid w:val="00981835"/>
    <w:rsid w:val="00981E10"/>
    <w:rsid w:val="0098257F"/>
    <w:rsid w:val="009849FD"/>
    <w:rsid w:val="00990619"/>
    <w:rsid w:val="0099279F"/>
    <w:rsid w:val="00992E50"/>
    <w:rsid w:val="00997F19"/>
    <w:rsid w:val="009A0B66"/>
    <w:rsid w:val="009A121D"/>
    <w:rsid w:val="009A1AC7"/>
    <w:rsid w:val="009A3392"/>
    <w:rsid w:val="009A3BD4"/>
    <w:rsid w:val="009A4FC2"/>
    <w:rsid w:val="009A5D51"/>
    <w:rsid w:val="009A64E0"/>
    <w:rsid w:val="009A6F4B"/>
    <w:rsid w:val="009A70C7"/>
    <w:rsid w:val="009B2593"/>
    <w:rsid w:val="009B3489"/>
    <w:rsid w:val="009B39A5"/>
    <w:rsid w:val="009B72AC"/>
    <w:rsid w:val="009C03B4"/>
    <w:rsid w:val="009C5017"/>
    <w:rsid w:val="009C588C"/>
    <w:rsid w:val="009C7AA2"/>
    <w:rsid w:val="009D0A8D"/>
    <w:rsid w:val="009D0C42"/>
    <w:rsid w:val="009D3114"/>
    <w:rsid w:val="009D3159"/>
    <w:rsid w:val="009D3825"/>
    <w:rsid w:val="009D60D2"/>
    <w:rsid w:val="009D64B8"/>
    <w:rsid w:val="009D69B9"/>
    <w:rsid w:val="009D7CD6"/>
    <w:rsid w:val="009E4293"/>
    <w:rsid w:val="009E5BA3"/>
    <w:rsid w:val="009E7680"/>
    <w:rsid w:val="009E79E8"/>
    <w:rsid w:val="009F13F9"/>
    <w:rsid w:val="009F2215"/>
    <w:rsid w:val="009F3A82"/>
    <w:rsid w:val="009F58DB"/>
    <w:rsid w:val="00A02E1A"/>
    <w:rsid w:val="00A045F3"/>
    <w:rsid w:val="00A0600E"/>
    <w:rsid w:val="00A1371C"/>
    <w:rsid w:val="00A17BF2"/>
    <w:rsid w:val="00A24127"/>
    <w:rsid w:val="00A24B2C"/>
    <w:rsid w:val="00A24FBA"/>
    <w:rsid w:val="00A2722E"/>
    <w:rsid w:val="00A27BB1"/>
    <w:rsid w:val="00A30CE0"/>
    <w:rsid w:val="00A3651A"/>
    <w:rsid w:val="00A40B15"/>
    <w:rsid w:val="00A40B27"/>
    <w:rsid w:val="00A44ACC"/>
    <w:rsid w:val="00A52B68"/>
    <w:rsid w:val="00A52C88"/>
    <w:rsid w:val="00A542D7"/>
    <w:rsid w:val="00A55BAF"/>
    <w:rsid w:val="00A578F8"/>
    <w:rsid w:val="00A610CD"/>
    <w:rsid w:val="00A612B3"/>
    <w:rsid w:val="00A613F1"/>
    <w:rsid w:val="00A626BA"/>
    <w:rsid w:val="00A62E20"/>
    <w:rsid w:val="00A650E5"/>
    <w:rsid w:val="00A70AA9"/>
    <w:rsid w:val="00A74A85"/>
    <w:rsid w:val="00A74AE0"/>
    <w:rsid w:val="00A74D70"/>
    <w:rsid w:val="00A761FD"/>
    <w:rsid w:val="00A80198"/>
    <w:rsid w:val="00A83D1D"/>
    <w:rsid w:val="00A86B55"/>
    <w:rsid w:val="00A92522"/>
    <w:rsid w:val="00A92843"/>
    <w:rsid w:val="00A92E03"/>
    <w:rsid w:val="00A93EE6"/>
    <w:rsid w:val="00A95A37"/>
    <w:rsid w:val="00A9766A"/>
    <w:rsid w:val="00AA0995"/>
    <w:rsid w:val="00AA0CC0"/>
    <w:rsid w:val="00AA1684"/>
    <w:rsid w:val="00AA1724"/>
    <w:rsid w:val="00AA3650"/>
    <w:rsid w:val="00AA595F"/>
    <w:rsid w:val="00AA6479"/>
    <w:rsid w:val="00AA7E70"/>
    <w:rsid w:val="00AB0408"/>
    <w:rsid w:val="00AB153C"/>
    <w:rsid w:val="00AB6059"/>
    <w:rsid w:val="00AB71FF"/>
    <w:rsid w:val="00AC26B2"/>
    <w:rsid w:val="00AC3BB7"/>
    <w:rsid w:val="00AD161F"/>
    <w:rsid w:val="00AD1BEE"/>
    <w:rsid w:val="00AD3367"/>
    <w:rsid w:val="00AD4416"/>
    <w:rsid w:val="00AD4FD2"/>
    <w:rsid w:val="00AD5D41"/>
    <w:rsid w:val="00AD71AE"/>
    <w:rsid w:val="00AD7CEF"/>
    <w:rsid w:val="00AE1C00"/>
    <w:rsid w:val="00AE225E"/>
    <w:rsid w:val="00AE2798"/>
    <w:rsid w:val="00AF1AFB"/>
    <w:rsid w:val="00AF4460"/>
    <w:rsid w:val="00AF545B"/>
    <w:rsid w:val="00B0062B"/>
    <w:rsid w:val="00B03053"/>
    <w:rsid w:val="00B129CD"/>
    <w:rsid w:val="00B16255"/>
    <w:rsid w:val="00B21780"/>
    <w:rsid w:val="00B24FF6"/>
    <w:rsid w:val="00B25FAD"/>
    <w:rsid w:val="00B26191"/>
    <w:rsid w:val="00B30A23"/>
    <w:rsid w:val="00B314BE"/>
    <w:rsid w:val="00B319DC"/>
    <w:rsid w:val="00B33EA1"/>
    <w:rsid w:val="00B3779D"/>
    <w:rsid w:val="00B44E70"/>
    <w:rsid w:val="00B45E86"/>
    <w:rsid w:val="00B51F94"/>
    <w:rsid w:val="00B60185"/>
    <w:rsid w:val="00B6065A"/>
    <w:rsid w:val="00B61719"/>
    <w:rsid w:val="00B6453D"/>
    <w:rsid w:val="00B71A11"/>
    <w:rsid w:val="00B71EEA"/>
    <w:rsid w:val="00B72F58"/>
    <w:rsid w:val="00B73E3C"/>
    <w:rsid w:val="00B75F04"/>
    <w:rsid w:val="00B760C8"/>
    <w:rsid w:val="00B77E66"/>
    <w:rsid w:val="00B83261"/>
    <w:rsid w:val="00B86558"/>
    <w:rsid w:val="00B93308"/>
    <w:rsid w:val="00BA19B1"/>
    <w:rsid w:val="00BA1CBB"/>
    <w:rsid w:val="00BA2EC3"/>
    <w:rsid w:val="00BA37C3"/>
    <w:rsid w:val="00BA43B4"/>
    <w:rsid w:val="00BA501A"/>
    <w:rsid w:val="00BA51CA"/>
    <w:rsid w:val="00BB2C54"/>
    <w:rsid w:val="00BB2F77"/>
    <w:rsid w:val="00BB3EA6"/>
    <w:rsid w:val="00BB529A"/>
    <w:rsid w:val="00BB5A7F"/>
    <w:rsid w:val="00BC535F"/>
    <w:rsid w:val="00BC5A7B"/>
    <w:rsid w:val="00BC69BC"/>
    <w:rsid w:val="00BC6A87"/>
    <w:rsid w:val="00BC7CF2"/>
    <w:rsid w:val="00BD39E6"/>
    <w:rsid w:val="00BD7B6A"/>
    <w:rsid w:val="00BE02F3"/>
    <w:rsid w:val="00BE537C"/>
    <w:rsid w:val="00BE65FD"/>
    <w:rsid w:val="00BE6D09"/>
    <w:rsid w:val="00BF1D13"/>
    <w:rsid w:val="00BF1EEF"/>
    <w:rsid w:val="00BF26D1"/>
    <w:rsid w:val="00BF2F12"/>
    <w:rsid w:val="00BF2F6F"/>
    <w:rsid w:val="00BF52AD"/>
    <w:rsid w:val="00BF6241"/>
    <w:rsid w:val="00C00F76"/>
    <w:rsid w:val="00C015A8"/>
    <w:rsid w:val="00C01B2F"/>
    <w:rsid w:val="00C02B78"/>
    <w:rsid w:val="00C03603"/>
    <w:rsid w:val="00C05630"/>
    <w:rsid w:val="00C06A8D"/>
    <w:rsid w:val="00C111C9"/>
    <w:rsid w:val="00C11B9F"/>
    <w:rsid w:val="00C11D92"/>
    <w:rsid w:val="00C13DB7"/>
    <w:rsid w:val="00C16BAC"/>
    <w:rsid w:val="00C2115B"/>
    <w:rsid w:val="00C2150E"/>
    <w:rsid w:val="00C21C90"/>
    <w:rsid w:val="00C23431"/>
    <w:rsid w:val="00C24253"/>
    <w:rsid w:val="00C26FCA"/>
    <w:rsid w:val="00C30F3B"/>
    <w:rsid w:val="00C315D6"/>
    <w:rsid w:val="00C34FA7"/>
    <w:rsid w:val="00C36802"/>
    <w:rsid w:val="00C42063"/>
    <w:rsid w:val="00C42C9F"/>
    <w:rsid w:val="00C47669"/>
    <w:rsid w:val="00C47771"/>
    <w:rsid w:val="00C47B2A"/>
    <w:rsid w:val="00C56667"/>
    <w:rsid w:val="00C574EE"/>
    <w:rsid w:val="00C57729"/>
    <w:rsid w:val="00C63A55"/>
    <w:rsid w:val="00C6500E"/>
    <w:rsid w:val="00C679DC"/>
    <w:rsid w:val="00C737D4"/>
    <w:rsid w:val="00C73ACE"/>
    <w:rsid w:val="00C8149E"/>
    <w:rsid w:val="00C83919"/>
    <w:rsid w:val="00C85BB0"/>
    <w:rsid w:val="00C8683D"/>
    <w:rsid w:val="00C90E14"/>
    <w:rsid w:val="00C90ED5"/>
    <w:rsid w:val="00C913B5"/>
    <w:rsid w:val="00C92174"/>
    <w:rsid w:val="00C9265C"/>
    <w:rsid w:val="00C93C69"/>
    <w:rsid w:val="00C943C6"/>
    <w:rsid w:val="00CA0B5D"/>
    <w:rsid w:val="00CA4920"/>
    <w:rsid w:val="00CA56A9"/>
    <w:rsid w:val="00CA598F"/>
    <w:rsid w:val="00CA6682"/>
    <w:rsid w:val="00CA6DA4"/>
    <w:rsid w:val="00CB0FBA"/>
    <w:rsid w:val="00CB187C"/>
    <w:rsid w:val="00CB1A6C"/>
    <w:rsid w:val="00CB4AAE"/>
    <w:rsid w:val="00CB57C3"/>
    <w:rsid w:val="00CB655D"/>
    <w:rsid w:val="00CB77D6"/>
    <w:rsid w:val="00CB790F"/>
    <w:rsid w:val="00CB7F9B"/>
    <w:rsid w:val="00CC414A"/>
    <w:rsid w:val="00CC520A"/>
    <w:rsid w:val="00CC5D03"/>
    <w:rsid w:val="00CC5D82"/>
    <w:rsid w:val="00CD1F97"/>
    <w:rsid w:val="00CD66A7"/>
    <w:rsid w:val="00CD6811"/>
    <w:rsid w:val="00CD71C0"/>
    <w:rsid w:val="00CE0F16"/>
    <w:rsid w:val="00CE527D"/>
    <w:rsid w:val="00CE6D6A"/>
    <w:rsid w:val="00CF3C19"/>
    <w:rsid w:val="00CF3E25"/>
    <w:rsid w:val="00CF5E39"/>
    <w:rsid w:val="00CF6049"/>
    <w:rsid w:val="00D037EE"/>
    <w:rsid w:val="00D12803"/>
    <w:rsid w:val="00D128AD"/>
    <w:rsid w:val="00D13F90"/>
    <w:rsid w:val="00D215B0"/>
    <w:rsid w:val="00D21F13"/>
    <w:rsid w:val="00D22975"/>
    <w:rsid w:val="00D22F20"/>
    <w:rsid w:val="00D2380C"/>
    <w:rsid w:val="00D24620"/>
    <w:rsid w:val="00D24F83"/>
    <w:rsid w:val="00D253ED"/>
    <w:rsid w:val="00D34537"/>
    <w:rsid w:val="00D34919"/>
    <w:rsid w:val="00D40051"/>
    <w:rsid w:val="00D41989"/>
    <w:rsid w:val="00D42AEA"/>
    <w:rsid w:val="00D438C0"/>
    <w:rsid w:val="00D471EF"/>
    <w:rsid w:val="00D5286F"/>
    <w:rsid w:val="00D566CA"/>
    <w:rsid w:val="00D57C8D"/>
    <w:rsid w:val="00D606B5"/>
    <w:rsid w:val="00D61D6D"/>
    <w:rsid w:val="00D62CDC"/>
    <w:rsid w:val="00D6408A"/>
    <w:rsid w:val="00D641A6"/>
    <w:rsid w:val="00D64360"/>
    <w:rsid w:val="00D65E1C"/>
    <w:rsid w:val="00D66974"/>
    <w:rsid w:val="00D66988"/>
    <w:rsid w:val="00D66C33"/>
    <w:rsid w:val="00D66D85"/>
    <w:rsid w:val="00D712DA"/>
    <w:rsid w:val="00D7297D"/>
    <w:rsid w:val="00D73145"/>
    <w:rsid w:val="00D73B7F"/>
    <w:rsid w:val="00D76289"/>
    <w:rsid w:val="00D81508"/>
    <w:rsid w:val="00D83B4B"/>
    <w:rsid w:val="00D84E43"/>
    <w:rsid w:val="00D90AEE"/>
    <w:rsid w:val="00D9126F"/>
    <w:rsid w:val="00D933DE"/>
    <w:rsid w:val="00D93745"/>
    <w:rsid w:val="00DA3C52"/>
    <w:rsid w:val="00DA6034"/>
    <w:rsid w:val="00DA7C42"/>
    <w:rsid w:val="00DB1E54"/>
    <w:rsid w:val="00DB20BF"/>
    <w:rsid w:val="00DB2638"/>
    <w:rsid w:val="00DB3663"/>
    <w:rsid w:val="00DB5E37"/>
    <w:rsid w:val="00DC16E4"/>
    <w:rsid w:val="00DC3495"/>
    <w:rsid w:val="00DC4BF9"/>
    <w:rsid w:val="00DC5199"/>
    <w:rsid w:val="00DC5E1A"/>
    <w:rsid w:val="00DC7EAE"/>
    <w:rsid w:val="00DD1289"/>
    <w:rsid w:val="00DD200E"/>
    <w:rsid w:val="00DD216F"/>
    <w:rsid w:val="00DD31B4"/>
    <w:rsid w:val="00DD6C57"/>
    <w:rsid w:val="00DD75FB"/>
    <w:rsid w:val="00DE03D8"/>
    <w:rsid w:val="00DE05F6"/>
    <w:rsid w:val="00DE1513"/>
    <w:rsid w:val="00DE3A4B"/>
    <w:rsid w:val="00DE77BC"/>
    <w:rsid w:val="00DF0E26"/>
    <w:rsid w:val="00DF4B9C"/>
    <w:rsid w:val="00DF6251"/>
    <w:rsid w:val="00E006A5"/>
    <w:rsid w:val="00E03A35"/>
    <w:rsid w:val="00E04C6D"/>
    <w:rsid w:val="00E05396"/>
    <w:rsid w:val="00E10830"/>
    <w:rsid w:val="00E14AA9"/>
    <w:rsid w:val="00E176BB"/>
    <w:rsid w:val="00E20E24"/>
    <w:rsid w:val="00E2484A"/>
    <w:rsid w:val="00E248EE"/>
    <w:rsid w:val="00E24B0F"/>
    <w:rsid w:val="00E26E46"/>
    <w:rsid w:val="00E271DF"/>
    <w:rsid w:val="00E310DA"/>
    <w:rsid w:val="00E31976"/>
    <w:rsid w:val="00E32399"/>
    <w:rsid w:val="00E326D5"/>
    <w:rsid w:val="00E33447"/>
    <w:rsid w:val="00E35A4B"/>
    <w:rsid w:val="00E35F43"/>
    <w:rsid w:val="00E367D6"/>
    <w:rsid w:val="00E402BA"/>
    <w:rsid w:val="00E40985"/>
    <w:rsid w:val="00E4245D"/>
    <w:rsid w:val="00E4680C"/>
    <w:rsid w:val="00E50373"/>
    <w:rsid w:val="00E517FF"/>
    <w:rsid w:val="00E53EE0"/>
    <w:rsid w:val="00E54CB5"/>
    <w:rsid w:val="00E5653A"/>
    <w:rsid w:val="00E579E1"/>
    <w:rsid w:val="00E60B19"/>
    <w:rsid w:val="00E62192"/>
    <w:rsid w:val="00E62829"/>
    <w:rsid w:val="00E63C8F"/>
    <w:rsid w:val="00E64CBF"/>
    <w:rsid w:val="00E65E9F"/>
    <w:rsid w:val="00E65FCF"/>
    <w:rsid w:val="00E707D9"/>
    <w:rsid w:val="00E70E0A"/>
    <w:rsid w:val="00E71000"/>
    <w:rsid w:val="00E71244"/>
    <w:rsid w:val="00E720B8"/>
    <w:rsid w:val="00E73EAA"/>
    <w:rsid w:val="00E7456F"/>
    <w:rsid w:val="00E74CF5"/>
    <w:rsid w:val="00E769C9"/>
    <w:rsid w:val="00E76E83"/>
    <w:rsid w:val="00E8214F"/>
    <w:rsid w:val="00E901A1"/>
    <w:rsid w:val="00E917B5"/>
    <w:rsid w:val="00E91B1D"/>
    <w:rsid w:val="00E92CEE"/>
    <w:rsid w:val="00E96A2B"/>
    <w:rsid w:val="00E96F1C"/>
    <w:rsid w:val="00E975AF"/>
    <w:rsid w:val="00EA2312"/>
    <w:rsid w:val="00EA448D"/>
    <w:rsid w:val="00EA4A5B"/>
    <w:rsid w:val="00EA5631"/>
    <w:rsid w:val="00EA5F7D"/>
    <w:rsid w:val="00EB05CF"/>
    <w:rsid w:val="00EB0F20"/>
    <w:rsid w:val="00EB269F"/>
    <w:rsid w:val="00EB5AD7"/>
    <w:rsid w:val="00EB6052"/>
    <w:rsid w:val="00EC2119"/>
    <w:rsid w:val="00EC2494"/>
    <w:rsid w:val="00EC24E6"/>
    <w:rsid w:val="00EC60E0"/>
    <w:rsid w:val="00EC7C67"/>
    <w:rsid w:val="00ED149D"/>
    <w:rsid w:val="00ED18B9"/>
    <w:rsid w:val="00ED2319"/>
    <w:rsid w:val="00ED6B56"/>
    <w:rsid w:val="00ED7FA4"/>
    <w:rsid w:val="00EE1D91"/>
    <w:rsid w:val="00EE606D"/>
    <w:rsid w:val="00EE7739"/>
    <w:rsid w:val="00EF306E"/>
    <w:rsid w:val="00EF4D07"/>
    <w:rsid w:val="00EF4E0F"/>
    <w:rsid w:val="00EF7BE8"/>
    <w:rsid w:val="00F02617"/>
    <w:rsid w:val="00F05FAA"/>
    <w:rsid w:val="00F0730B"/>
    <w:rsid w:val="00F10420"/>
    <w:rsid w:val="00F10F91"/>
    <w:rsid w:val="00F14991"/>
    <w:rsid w:val="00F168D5"/>
    <w:rsid w:val="00F214EF"/>
    <w:rsid w:val="00F22C1B"/>
    <w:rsid w:val="00F24F60"/>
    <w:rsid w:val="00F30EF5"/>
    <w:rsid w:val="00F314EB"/>
    <w:rsid w:val="00F32E34"/>
    <w:rsid w:val="00F3360D"/>
    <w:rsid w:val="00F340D1"/>
    <w:rsid w:val="00F34670"/>
    <w:rsid w:val="00F346F4"/>
    <w:rsid w:val="00F34B3D"/>
    <w:rsid w:val="00F357B8"/>
    <w:rsid w:val="00F406F4"/>
    <w:rsid w:val="00F4168D"/>
    <w:rsid w:val="00F4202B"/>
    <w:rsid w:val="00F42430"/>
    <w:rsid w:val="00F42F01"/>
    <w:rsid w:val="00F43FEA"/>
    <w:rsid w:val="00F4536A"/>
    <w:rsid w:val="00F4643C"/>
    <w:rsid w:val="00F46610"/>
    <w:rsid w:val="00F51B4E"/>
    <w:rsid w:val="00F53042"/>
    <w:rsid w:val="00F544E5"/>
    <w:rsid w:val="00F56558"/>
    <w:rsid w:val="00F5675F"/>
    <w:rsid w:val="00F668B3"/>
    <w:rsid w:val="00F7076C"/>
    <w:rsid w:val="00F71671"/>
    <w:rsid w:val="00F75BDB"/>
    <w:rsid w:val="00F76108"/>
    <w:rsid w:val="00F80629"/>
    <w:rsid w:val="00F80BE2"/>
    <w:rsid w:val="00F80DE2"/>
    <w:rsid w:val="00F81983"/>
    <w:rsid w:val="00F83F8F"/>
    <w:rsid w:val="00F84561"/>
    <w:rsid w:val="00F86409"/>
    <w:rsid w:val="00F921F7"/>
    <w:rsid w:val="00F9314F"/>
    <w:rsid w:val="00F939CB"/>
    <w:rsid w:val="00FA0CAC"/>
    <w:rsid w:val="00FA4C09"/>
    <w:rsid w:val="00FA6217"/>
    <w:rsid w:val="00FB1E29"/>
    <w:rsid w:val="00FB341E"/>
    <w:rsid w:val="00FB393E"/>
    <w:rsid w:val="00FB3C79"/>
    <w:rsid w:val="00FB51C7"/>
    <w:rsid w:val="00FD2320"/>
    <w:rsid w:val="00FD2C4D"/>
    <w:rsid w:val="00FD373C"/>
    <w:rsid w:val="00FE0BE3"/>
    <w:rsid w:val="00FE35CC"/>
    <w:rsid w:val="00FE4407"/>
    <w:rsid w:val="00FE4441"/>
    <w:rsid w:val="00FE4B14"/>
    <w:rsid w:val="00FE5F57"/>
    <w:rsid w:val="00FF0ABE"/>
    <w:rsid w:val="00FF4257"/>
    <w:rsid w:val="00FF6528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F0426"/>
  <w15:docId w15:val="{0A1A4B2D-3523-435D-AD76-B4F65359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sz w:val="20"/>
    </w:rPr>
  </w:style>
  <w:style w:type="paragraph" w:styleId="Subtitle">
    <w:name w:val="Subtitle"/>
    <w:basedOn w:val="Normal"/>
    <w:qFormat/>
    <w:rPr>
      <w:b/>
      <w:i/>
      <w:sz w:val="28"/>
      <w:szCs w:val="20"/>
      <w:u w:val="single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Cs w:val="20"/>
    </w:rPr>
  </w:style>
  <w:style w:type="character" w:styleId="Hyperlink">
    <w:name w:val="Hyperlink"/>
    <w:rsid w:val="00DD75FB"/>
    <w:rPr>
      <w:color w:val="0000FF"/>
      <w:u w:val="single"/>
    </w:rPr>
  </w:style>
  <w:style w:type="character" w:styleId="CommentReference">
    <w:name w:val="annotation reference"/>
    <w:rsid w:val="00EC24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494"/>
    <w:rPr>
      <w:sz w:val="20"/>
      <w:szCs w:val="20"/>
    </w:rPr>
  </w:style>
  <w:style w:type="character" w:customStyle="1" w:styleId="CommentTextChar">
    <w:name w:val="Comment Text Char"/>
    <w:link w:val="CommentText"/>
    <w:rsid w:val="00EC249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494"/>
    <w:rPr>
      <w:b/>
      <w:bCs/>
    </w:rPr>
  </w:style>
  <w:style w:type="character" w:customStyle="1" w:styleId="CommentSubjectChar">
    <w:name w:val="Comment Subject Char"/>
    <w:link w:val="CommentSubject"/>
    <w:rsid w:val="00EC249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C2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2494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rsid w:val="00281232"/>
    <w:pPr>
      <w:spacing w:before="100" w:beforeAutospacing="1" w:after="100" w:afterAutospacing="1"/>
    </w:pPr>
    <w:rPr>
      <w:lang w:eastAsia="lt-LT"/>
    </w:rPr>
  </w:style>
  <w:style w:type="paragraph" w:styleId="ListParagraph">
    <w:name w:val="List Paragraph"/>
    <w:basedOn w:val="Normal"/>
    <w:uiPriority w:val="34"/>
    <w:qFormat/>
    <w:rsid w:val="00AE225E"/>
    <w:pPr>
      <w:ind w:left="720"/>
    </w:pPr>
  </w:style>
  <w:style w:type="table" w:styleId="TableGrid">
    <w:name w:val="Table Grid"/>
    <w:basedOn w:val="TableNormal"/>
    <w:rsid w:val="004C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24E9"/>
    <w:rPr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3E3646"/>
    <w:rPr>
      <w:b/>
      <w:bCs/>
      <w:i w:val="0"/>
      <w:iCs w:val="0"/>
    </w:rPr>
  </w:style>
  <w:style w:type="character" w:customStyle="1" w:styleId="st1">
    <w:name w:val="st1"/>
    <w:basedOn w:val="DefaultParagraphFont"/>
    <w:rsid w:val="003E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ide xmlns="634cb8d8-9aa4-4c11-9793-69595509df13" xsi:nil="true"/>
    <Klientas xmlns="634cb8d8-9aa4-4c11-9793-69595509df13" xsi:nil="true"/>
    <TB_x0020_projektas xmlns="634cb8d8-9aa4-4c11-9793-69595509df13" xsi:nil="true"/>
    <Klientas2 xmlns="634cb8d8-9aa4-4c11-9793-69595509df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946D741B52B4EBA8F99B7AF544DB3" ma:contentTypeVersion="16" ma:contentTypeDescription="Create a new document." ma:contentTypeScope="" ma:versionID="1ccbfa62b183881bd155e5c925b6d970">
  <xsd:schema xmlns:xsd="http://www.w3.org/2001/XMLSchema" xmlns:xs="http://www.w3.org/2001/XMLSchema" xmlns:p="http://schemas.microsoft.com/office/2006/metadata/properties" xmlns:ns2="634cb8d8-9aa4-4c11-9793-69595509df13" xmlns:ns3="f29d842e-060b-48cf-9d9e-3f29b8ac7f41" targetNamespace="http://schemas.microsoft.com/office/2006/metadata/properties" ma:root="true" ma:fieldsID="e6f2525d81c2fd6d7454148ed6a8c0e6" ns2:_="" ns3:_="">
    <xsd:import namespace="634cb8d8-9aa4-4c11-9793-69595509df13"/>
    <xsd:import namespace="f29d842e-060b-48cf-9d9e-3f29b8ac7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TB_x0020_projektas" minOccurs="0"/>
                <xsd:element ref="ns2:Klientas" minOccurs="0"/>
                <xsd:element ref="ns2:MediaServiceAutoKeyPoints" minOccurs="0"/>
                <xsd:element ref="ns2:MediaServiceKeyPoints" minOccurs="0"/>
                <xsd:element ref="ns2:Klientas2" minOccurs="0"/>
                <xsd:element ref="ns2:ra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cb8d8-9aa4-4c11-9793-69595509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TB_x0020_projektas" ma:index="18" nillable="true" ma:displayName="TB projektas" ma:internalName="TB_x0020_projektas">
      <xsd:simpleType>
        <xsd:restriction base="dms:Text">
          <xsd:maxLength value="255"/>
        </xsd:restriction>
      </xsd:simpleType>
    </xsd:element>
    <xsd:element name="Klientas" ma:index="19" nillable="true" ma:displayName="Klientas" ma:internalName="Klientas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lientas2" ma:index="22" nillable="true" ma:displayName="Klientas2" ma:format="Dropdown" ma:internalName="Klientas2">
      <xsd:simpleType>
        <xsd:restriction base="dms:Text">
          <xsd:maxLength value="255"/>
        </xsd:restriction>
      </xsd:simpleType>
    </xsd:element>
    <xsd:element name="raide" ma:index="23" nillable="true" ma:displayName="raide" ma:internalName="rai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d842e-060b-48cf-9d9e-3f29b8ac7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B3352-0105-4255-90BA-10D68F8F8C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5C5D96-FA16-4474-969E-83515304A7C7}">
  <ds:schemaRefs>
    <ds:schemaRef ds:uri="http://schemas.microsoft.com/office/2006/metadata/properties"/>
    <ds:schemaRef ds:uri="http://schemas.microsoft.com/office/infopath/2007/PartnerControls"/>
    <ds:schemaRef ds:uri="634cb8d8-9aa4-4c11-9793-69595509df13"/>
  </ds:schemaRefs>
</ds:datastoreItem>
</file>

<file path=customXml/itemProps3.xml><?xml version="1.0" encoding="utf-8"?>
<ds:datastoreItem xmlns:ds="http://schemas.openxmlformats.org/officeDocument/2006/customXml" ds:itemID="{3F383DF7-2BBF-4F87-93B5-F7DEF18EE1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E8D450-4040-44C6-9E74-6222846AC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cb8d8-9aa4-4c11-9793-69595509df13"/>
    <ds:schemaRef ds:uri="f29d842e-060b-48cf-9d9e-3f29b8ac7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7061</Words>
  <Characters>4026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Eil</vt:lpstr>
    </vt:vector>
  </TitlesOfParts>
  <Company>SBA</Company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Koncernas</dc:creator>
  <cp:lastModifiedBy>Reda Kučinskienė</cp:lastModifiedBy>
  <cp:revision>3</cp:revision>
  <cp:lastPrinted>2020-09-09T11:42:00Z</cp:lastPrinted>
  <dcterms:created xsi:type="dcterms:W3CDTF">2020-12-14T13:26:00Z</dcterms:created>
  <dcterms:modified xsi:type="dcterms:W3CDTF">2020-12-14T13:46:00Z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0x010100824946D741B52B4EBA8F99B7AF544DB3</vt:lpwstr>
  </property>
</Properties>
</file>