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284B" w14:textId="77777777" w:rsidR="00C5075B" w:rsidRPr="00F83A57" w:rsidRDefault="00C5075B">
      <w:pPr>
        <w:spacing w:before="5" w:line="100" w:lineRule="exact"/>
        <w:rPr>
          <w:sz w:val="10"/>
          <w:szCs w:val="10"/>
          <w:lang w:val="lt-LT"/>
        </w:rPr>
      </w:pPr>
    </w:p>
    <w:p w14:paraId="290E9472" w14:textId="77777777" w:rsidR="00C5075B" w:rsidRPr="00F83A57" w:rsidRDefault="008E3522">
      <w:pPr>
        <w:ind w:left="3914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F83A57">
        <w:rPr>
          <w:rFonts w:ascii="Times New Roman" w:eastAsia="Times New Roman" w:hAnsi="Times New Roman" w:cs="Times New Roman"/>
          <w:noProof/>
          <w:sz w:val="20"/>
          <w:szCs w:val="20"/>
          <w:lang w:val="lt-LT" w:eastAsia="lt-LT"/>
        </w:rPr>
        <w:drawing>
          <wp:inline distT="0" distB="0" distL="0" distR="0" wp14:anchorId="06D50ACF" wp14:editId="360C5009">
            <wp:extent cx="1533525" cy="709075"/>
            <wp:effectExtent l="0" t="0" r="0" b="0"/>
            <wp:docPr id="3" name="Picture 3" descr="C:\Users\THINKPAD\Desktop\ARJ CAPITAL\O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INKPAD\Desktop\ARJ CAPITAL\OA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1B308" w14:textId="7E3B0FB8" w:rsidR="008E3522" w:rsidRPr="00F83A57" w:rsidRDefault="008E3522">
      <w:pPr>
        <w:pStyle w:val="Heading1"/>
        <w:spacing w:line="228" w:lineRule="exact"/>
        <w:ind w:left="3178"/>
        <w:rPr>
          <w:rFonts w:ascii="Arial" w:hAnsi="Arial" w:cs="Arial"/>
          <w:lang w:val="lt-LT"/>
        </w:rPr>
      </w:pPr>
      <w:r w:rsidRPr="00F83A57">
        <w:rPr>
          <w:rFonts w:ascii="Arial" w:hAnsi="Arial" w:cs="Arial"/>
          <w:lang w:val="lt-LT"/>
        </w:rPr>
        <w:t>U</w:t>
      </w:r>
      <w:r w:rsidR="00F83A57" w:rsidRPr="00F83A57">
        <w:rPr>
          <w:rFonts w:ascii="Arial" w:hAnsi="Arial" w:cs="Arial"/>
          <w:lang w:val="lt-LT"/>
        </w:rPr>
        <w:t>ždaroji akcinė bendrovė</w:t>
      </w:r>
      <w:r w:rsidRPr="00F83A57">
        <w:rPr>
          <w:rFonts w:ascii="Arial" w:hAnsi="Arial" w:cs="Arial"/>
          <w:lang w:val="lt-LT"/>
        </w:rPr>
        <w:t xml:space="preserve"> </w:t>
      </w:r>
      <w:r w:rsidR="00F83A57">
        <w:rPr>
          <w:rFonts w:ascii="Arial" w:hAnsi="Arial" w:cs="Arial"/>
          <w:lang w:val="lt-LT"/>
        </w:rPr>
        <w:t>„</w:t>
      </w:r>
      <w:r w:rsidRPr="00F83A57">
        <w:rPr>
          <w:rFonts w:ascii="Arial" w:hAnsi="Arial" w:cs="Arial"/>
          <w:lang w:val="lt-LT"/>
        </w:rPr>
        <w:t xml:space="preserve">Orion Asset </w:t>
      </w:r>
      <w:r w:rsidR="00A6612B">
        <w:rPr>
          <w:rFonts w:ascii="Arial" w:hAnsi="Arial" w:cs="Arial"/>
          <w:lang w:val="lt-LT"/>
        </w:rPr>
        <w:t>M</w:t>
      </w:r>
      <w:r w:rsidRPr="00F83A57">
        <w:rPr>
          <w:rFonts w:ascii="Arial" w:hAnsi="Arial" w:cs="Arial"/>
          <w:lang w:val="lt-LT"/>
        </w:rPr>
        <w:t>anagement”</w:t>
      </w:r>
    </w:p>
    <w:p w14:paraId="521DF6AC" w14:textId="77777777" w:rsidR="008E3522" w:rsidRPr="00F83A57" w:rsidRDefault="008E3522">
      <w:pPr>
        <w:pStyle w:val="BodyText"/>
        <w:spacing w:line="230" w:lineRule="exact"/>
        <w:ind w:left="134" w:right="833" w:firstLine="1054"/>
        <w:rPr>
          <w:rFonts w:ascii="Arial" w:hAnsi="Arial" w:cs="Arial"/>
          <w:spacing w:val="-1"/>
          <w:lang w:val="lt-LT"/>
        </w:rPr>
      </w:pPr>
    </w:p>
    <w:p w14:paraId="628D0A3C" w14:textId="47BEA587" w:rsidR="008E3522" w:rsidRPr="00F83A57" w:rsidRDefault="00F83A57" w:rsidP="00855698">
      <w:pPr>
        <w:pStyle w:val="BodyText"/>
        <w:spacing w:line="230" w:lineRule="exact"/>
        <w:ind w:left="1276" w:right="833" w:hanging="88"/>
        <w:jc w:val="center"/>
        <w:rPr>
          <w:rFonts w:ascii="Arial" w:hAnsi="Arial" w:cs="Arial"/>
          <w:spacing w:val="-1"/>
          <w:lang w:val="lt-LT"/>
        </w:rPr>
      </w:pPr>
      <w:r>
        <w:rPr>
          <w:rFonts w:ascii="Arial" w:hAnsi="Arial" w:cs="Arial"/>
          <w:spacing w:val="-1"/>
          <w:lang w:val="lt-LT"/>
        </w:rPr>
        <w:t xml:space="preserve">Juridinio asmens kodas </w:t>
      </w:r>
      <w:r w:rsidRPr="00F83A57">
        <w:rPr>
          <w:rFonts w:ascii="Arial" w:hAnsi="Arial" w:cs="Arial"/>
          <w:spacing w:val="-1"/>
          <w:lang w:val="lt-LT"/>
        </w:rPr>
        <w:t>111707985</w:t>
      </w:r>
      <w:r>
        <w:rPr>
          <w:rFonts w:ascii="Arial" w:hAnsi="Arial" w:cs="Arial"/>
          <w:spacing w:val="-1"/>
          <w:lang w:val="lt-LT"/>
        </w:rPr>
        <w:t xml:space="preserve">, registruotos buveinės adresas </w:t>
      </w:r>
      <w:r w:rsidR="008E3522" w:rsidRPr="00F83A57">
        <w:rPr>
          <w:rFonts w:ascii="Arial" w:hAnsi="Arial" w:cs="Arial"/>
          <w:spacing w:val="-1"/>
          <w:lang w:val="lt-LT"/>
        </w:rPr>
        <w:t xml:space="preserve">A. Tumėno g. 4, </w:t>
      </w:r>
      <w:r>
        <w:rPr>
          <w:rFonts w:ascii="Arial" w:hAnsi="Arial" w:cs="Arial"/>
          <w:spacing w:val="-1"/>
          <w:lang w:val="lt-LT"/>
        </w:rPr>
        <w:t>Vakarų įėjimas</w:t>
      </w:r>
      <w:r w:rsidR="008E3522" w:rsidRPr="00F83A57">
        <w:rPr>
          <w:rFonts w:ascii="Arial" w:hAnsi="Arial" w:cs="Arial"/>
          <w:spacing w:val="-1"/>
          <w:lang w:val="lt-LT"/>
        </w:rPr>
        <w:t xml:space="preserve">, </w:t>
      </w:r>
      <w:r w:rsidR="0061190A" w:rsidRPr="00F83A57">
        <w:rPr>
          <w:rFonts w:ascii="Arial" w:hAnsi="Arial" w:cs="Arial"/>
          <w:spacing w:val="-1"/>
          <w:lang w:val="lt-LT"/>
        </w:rPr>
        <w:t>11</w:t>
      </w:r>
      <w:r w:rsidR="008E3522" w:rsidRPr="00F83A57">
        <w:rPr>
          <w:rFonts w:ascii="Arial" w:hAnsi="Arial" w:cs="Arial"/>
          <w:spacing w:val="-1"/>
          <w:lang w:val="lt-LT"/>
        </w:rPr>
        <w:t xml:space="preserve"> aukštas, Vilnius,</w:t>
      </w:r>
      <w:r>
        <w:rPr>
          <w:rFonts w:ascii="Arial" w:hAnsi="Arial" w:cs="Arial"/>
          <w:spacing w:val="-1"/>
          <w:lang w:val="lt-LT"/>
        </w:rPr>
        <w:t xml:space="preserve"> Lietuvos Respublika,</w:t>
      </w:r>
      <w:r w:rsidR="008E3522" w:rsidRPr="00F83A57">
        <w:rPr>
          <w:rFonts w:ascii="Arial" w:hAnsi="Arial" w:cs="Arial"/>
          <w:spacing w:val="-1"/>
          <w:lang w:val="lt-LT"/>
        </w:rPr>
        <w:t xml:space="preserve"> tel.</w:t>
      </w:r>
      <w:r>
        <w:rPr>
          <w:rFonts w:ascii="Arial" w:hAnsi="Arial" w:cs="Arial"/>
          <w:spacing w:val="-1"/>
          <w:lang w:val="lt-LT"/>
        </w:rPr>
        <w:t xml:space="preserve"> Nr.:</w:t>
      </w:r>
      <w:r w:rsidR="008E3522" w:rsidRPr="00F83A57">
        <w:rPr>
          <w:rFonts w:ascii="Arial" w:hAnsi="Arial" w:cs="Arial"/>
          <w:spacing w:val="-1"/>
          <w:lang w:val="lt-LT"/>
        </w:rPr>
        <w:t xml:space="preserve"> +</w:t>
      </w:r>
      <w:r w:rsidRPr="00F83A57">
        <w:rPr>
          <w:rFonts w:ascii="Arial" w:hAnsi="Arial" w:cs="Arial"/>
          <w:spacing w:val="-1"/>
          <w:lang w:val="lt-LT"/>
        </w:rPr>
        <w:t>370 5 203 2699</w:t>
      </w:r>
      <w:r w:rsidR="008E3522" w:rsidRPr="00F83A57">
        <w:rPr>
          <w:rFonts w:ascii="Arial" w:hAnsi="Arial" w:cs="Arial"/>
          <w:spacing w:val="-1"/>
          <w:lang w:val="lt-LT"/>
        </w:rPr>
        <w:t>,</w:t>
      </w:r>
      <w:r>
        <w:rPr>
          <w:rFonts w:ascii="Arial" w:hAnsi="Arial" w:cs="Arial"/>
          <w:spacing w:val="-1"/>
          <w:lang w:val="lt-LT"/>
        </w:rPr>
        <w:t xml:space="preserve"> </w:t>
      </w:r>
      <w:r w:rsidR="00DF2247" w:rsidRPr="00F83A57">
        <w:rPr>
          <w:rFonts w:ascii="Arial" w:hAnsi="Arial" w:cs="Arial"/>
          <w:spacing w:val="-1"/>
          <w:lang w:val="lt-LT"/>
        </w:rPr>
        <w:t>el. p.: oam</w:t>
      </w:r>
      <w:r w:rsidR="008E3522" w:rsidRPr="00F83A57">
        <w:rPr>
          <w:rFonts w:ascii="Arial" w:hAnsi="Arial" w:cs="Arial"/>
          <w:spacing w:val="-1"/>
          <w:lang w:val="lt-LT"/>
        </w:rPr>
        <w:t>@orion.lt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</w:tblGrid>
      <w:tr w:rsidR="008E3522" w:rsidRPr="00F83A57" w14:paraId="2AF447A9" w14:textId="77777777" w:rsidTr="008E3522">
        <w:trPr>
          <w:tblCellSpacing w:w="0" w:type="dxa"/>
        </w:trPr>
        <w:tc>
          <w:tcPr>
            <w:tcW w:w="3120" w:type="dxa"/>
            <w:hideMark/>
          </w:tcPr>
          <w:p w14:paraId="57CE9343" w14:textId="77777777" w:rsidR="008E3522" w:rsidRPr="00F83A57" w:rsidRDefault="008E3522" w:rsidP="008E3522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</w:tbl>
    <w:p w14:paraId="786DDB75" w14:textId="6400AE04" w:rsidR="00C5075B" w:rsidRPr="00F83A57" w:rsidRDefault="002D2197" w:rsidP="008E3522">
      <w:pPr>
        <w:pStyle w:val="BodyText"/>
        <w:spacing w:line="230" w:lineRule="exact"/>
        <w:ind w:right="833"/>
        <w:rPr>
          <w:spacing w:val="-1"/>
          <w:lang w:val="lt-LT"/>
        </w:rPr>
      </w:pPr>
      <w:r w:rsidRPr="00F83A57">
        <w:rPr>
          <w:spacing w:val="-1"/>
          <w:lang w:val="lt-LT"/>
        </w:rPr>
        <w:t xml:space="preserve"> </w:t>
      </w:r>
      <w:r w:rsidR="00F83A57">
        <w:rPr>
          <w:spacing w:val="-1"/>
          <w:lang w:val="lt-LT"/>
        </w:rPr>
        <w:t xml:space="preserve">                       </w:t>
      </w:r>
    </w:p>
    <w:p w14:paraId="29891922" w14:textId="35634331" w:rsidR="00C5075B" w:rsidRPr="00F83A57" w:rsidRDefault="002D2197">
      <w:pPr>
        <w:spacing w:line="200" w:lineRule="exact"/>
        <w:rPr>
          <w:sz w:val="20"/>
          <w:szCs w:val="20"/>
          <w:lang w:val="lt-LT"/>
        </w:rPr>
      </w:pPr>
      <w:r w:rsidRPr="00F83A57">
        <w:rPr>
          <w:sz w:val="20"/>
          <w:szCs w:val="20"/>
          <w:lang w:val="lt-LT"/>
        </w:rPr>
        <w:t xml:space="preserve"> </w:t>
      </w:r>
      <w:r w:rsidR="00F83A57">
        <w:rPr>
          <w:sz w:val="20"/>
          <w:szCs w:val="20"/>
          <w:lang w:val="lt-LT"/>
        </w:rPr>
        <w:t xml:space="preserve">                 </w:t>
      </w:r>
      <w:r w:rsidRPr="00F83A57">
        <w:rPr>
          <w:sz w:val="20"/>
          <w:szCs w:val="20"/>
          <w:lang w:val="lt-LT"/>
        </w:rPr>
        <w:tab/>
      </w:r>
    </w:p>
    <w:p w14:paraId="36AD3B69" w14:textId="3F0B6F2F" w:rsidR="00A6612B" w:rsidRDefault="002A267E">
      <w:pPr>
        <w:pStyle w:val="Heading1"/>
        <w:spacing w:before="73"/>
        <w:ind w:right="213"/>
        <w:jc w:val="center"/>
        <w:rPr>
          <w:rFonts w:ascii="Arial" w:hAnsi="Arial" w:cs="Arial"/>
          <w:sz w:val="28"/>
          <w:szCs w:val="28"/>
          <w:lang w:val="lt-LT"/>
        </w:rPr>
      </w:pPr>
      <w:r>
        <w:rPr>
          <w:rFonts w:ascii="Arial" w:hAnsi="Arial" w:cs="Arial"/>
          <w:lang w:val="lt-LT"/>
        </w:rPr>
        <w:t>I</w:t>
      </w:r>
      <w:bookmarkStart w:id="0" w:name="_GoBack"/>
      <w:bookmarkEnd w:id="0"/>
      <w:r w:rsidRPr="002A267E">
        <w:rPr>
          <w:rFonts w:ascii="Arial" w:hAnsi="Arial" w:cs="Arial"/>
          <w:lang w:val="lt-LT"/>
        </w:rPr>
        <w:t>nvesticinės kintamojo kapitalo bendrovės</w:t>
      </w:r>
      <w:r w:rsidR="002D2197" w:rsidRPr="00F83A57">
        <w:rPr>
          <w:rFonts w:ascii="Arial" w:hAnsi="Arial" w:cs="Arial"/>
          <w:lang w:val="lt-LT"/>
        </w:rPr>
        <w:t xml:space="preserve"> “OMX Baltic Benchmark Fund”</w:t>
      </w:r>
      <w:r w:rsidR="00A34DEB" w:rsidRPr="00F83A57">
        <w:rPr>
          <w:rFonts w:ascii="Arial" w:hAnsi="Arial" w:cs="Arial"/>
          <w:lang w:val="lt-LT"/>
        </w:rPr>
        <w:t xml:space="preserve"> (toliau – </w:t>
      </w:r>
      <w:r w:rsidR="00F83A57">
        <w:rPr>
          <w:rFonts w:ascii="Arial" w:hAnsi="Arial" w:cs="Arial"/>
          <w:lang w:val="lt-LT"/>
        </w:rPr>
        <w:t>„</w:t>
      </w:r>
      <w:r w:rsidR="00A34DEB" w:rsidRPr="00F83A57">
        <w:rPr>
          <w:rFonts w:ascii="Arial" w:hAnsi="Arial" w:cs="Arial"/>
          <w:lang w:val="lt-LT"/>
        </w:rPr>
        <w:t>Bendrovė”)</w:t>
      </w:r>
      <w:r w:rsidR="00F82F14" w:rsidRPr="00F83A57">
        <w:rPr>
          <w:rFonts w:ascii="Arial" w:hAnsi="Arial" w:cs="Arial"/>
          <w:noProof/>
          <w:lang w:val="lt-LT" w:eastAsia="lt-L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6742E3" wp14:editId="417DBB3B">
                <wp:simplePos x="0" y="0"/>
                <wp:positionH relativeFrom="page">
                  <wp:posOffset>504190</wp:posOffset>
                </wp:positionH>
                <wp:positionV relativeFrom="paragraph">
                  <wp:posOffset>-93980</wp:posOffset>
                </wp:positionV>
                <wp:extent cx="5518150" cy="1270"/>
                <wp:effectExtent l="8890" t="10795" r="6985" b="698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0" cy="1270"/>
                          <a:chOff x="794" y="-148"/>
                          <a:chExt cx="8690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794" y="-148"/>
                            <a:ext cx="8690" cy="2"/>
                          </a:xfrm>
                          <a:custGeom>
                            <a:avLst/>
                            <a:gdLst>
                              <a:gd name="T0" fmla="+- 0 794 794"/>
                              <a:gd name="T1" fmla="*/ T0 w 8690"/>
                              <a:gd name="T2" fmla="+- 0 9484 794"/>
                              <a:gd name="T3" fmla="*/ T2 w 8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0">
                                <a:moveTo>
                                  <a:pt x="0" y="0"/>
                                </a:moveTo>
                                <a:lnTo>
                                  <a:pt x="8690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59BF3" id="Group 7" o:spid="_x0000_s1026" style="position:absolute;margin-left:39.7pt;margin-top:-7.4pt;width:434.5pt;height:.1pt;z-index:-251658240;mso-position-horizontal-relative:page" coordorigin="794,-148" coordsize="8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">
                <v:shape id="Freeform 8" o:spid="_x0000_s1027" style="position:absolute;left:794;top:-148;width:8690;height:2;visibility:visible;mso-wrap-style:square;v-text-anchor:top" coordsize="8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" path="m,l8690,e" filled="f" strokeweight=".14056mm">
                  <v:path arrowok="t" o:connecttype="custom" o:connectlocs="0,0;8690,0" o:connectangles="0,0"/>
                </v:shape>
                <w10:wrap anchorx="page"/>
              </v:group>
            </w:pict>
          </mc:Fallback>
        </mc:AlternateContent>
      </w:r>
    </w:p>
    <w:p w14:paraId="30C26123" w14:textId="55557D60" w:rsidR="00F83A57" w:rsidRDefault="00F83A57">
      <w:pPr>
        <w:pStyle w:val="Heading1"/>
        <w:spacing w:before="73"/>
        <w:ind w:right="213"/>
        <w:jc w:val="center"/>
        <w:rPr>
          <w:rFonts w:ascii="Arial" w:hAnsi="Arial" w:cs="Arial"/>
          <w:spacing w:val="1"/>
          <w:lang w:val="lt-LT"/>
        </w:rPr>
      </w:pPr>
      <w:r w:rsidRPr="00F83A57">
        <w:rPr>
          <w:rFonts w:ascii="Arial" w:hAnsi="Arial" w:cs="Arial"/>
          <w:spacing w:val="1"/>
          <w:lang w:val="lt-LT"/>
        </w:rPr>
        <w:t>2019</w:t>
      </w:r>
      <w:r>
        <w:rPr>
          <w:rFonts w:ascii="Arial" w:hAnsi="Arial" w:cs="Arial"/>
          <w:spacing w:val="1"/>
          <w:lang w:val="lt-LT"/>
        </w:rPr>
        <w:t xml:space="preserve"> m. rugpjūčio </w:t>
      </w:r>
      <w:r w:rsidR="00550CC7">
        <w:rPr>
          <w:rFonts w:ascii="Arial" w:hAnsi="Arial" w:cs="Arial"/>
          <w:spacing w:val="1"/>
          <w:lang w:val="lt-LT"/>
        </w:rPr>
        <w:t>9</w:t>
      </w:r>
      <w:r>
        <w:rPr>
          <w:rFonts w:ascii="Arial" w:hAnsi="Arial" w:cs="Arial"/>
          <w:spacing w:val="1"/>
          <w:lang w:val="lt-LT"/>
        </w:rPr>
        <w:t xml:space="preserve"> d. </w:t>
      </w:r>
      <w:r w:rsidRPr="00F83A57">
        <w:rPr>
          <w:rFonts w:ascii="Arial" w:hAnsi="Arial" w:cs="Arial"/>
          <w:spacing w:val="-1"/>
          <w:lang w:val="lt-LT"/>
        </w:rPr>
        <w:t>n</w:t>
      </w:r>
      <w:r>
        <w:rPr>
          <w:rFonts w:ascii="Arial" w:hAnsi="Arial" w:cs="Arial"/>
          <w:spacing w:val="-1"/>
          <w:lang w:val="lt-LT"/>
        </w:rPr>
        <w:t>e</w:t>
      </w:r>
      <w:r w:rsidR="00EC4DA2" w:rsidRPr="00F83A57">
        <w:rPr>
          <w:rFonts w:ascii="Arial" w:hAnsi="Arial" w:cs="Arial"/>
          <w:spacing w:val="-1"/>
          <w:lang w:val="lt-LT"/>
        </w:rPr>
        <w:t>eilinio</w:t>
      </w:r>
      <w:r w:rsidR="00EC4DA2" w:rsidRPr="00F83A57">
        <w:rPr>
          <w:rFonts w:ascii="Arial" w:hAnsi="Arial" w:cs="Arial"/>
          <w:spacing w:val="-9"/>
          <w:lang w:val="lt-LT"/>
        </w:rPr>
        <w:t xml:space="preserve"> </w:t>
      </w:r>
      <w:r w:rsidR="00EC4DA2" w:rsidRPr="00F83A57">
        <w:rPr>
          <w:rFonts w:ascii="Arial" w:hAnsi="Arial" w:cs="Arial"/>
          <w:spacing w:val="-1"/>
          <w:lang w:val="lt-LT"/>
        </w:rPr>
        <w:t>visuotinio</w:t>
      </w:r>
      <w:r w:rsidR="00EC4DA2" w:rsidRPr="00F83A57">
        <w:rPr>
          <w:rFonts w:ascii="Arial" w:hAnsi="Arial" w:cs="Arial"/>
          <w:spacing w:val="-9"/>
          <w:lang w:val="lt-LT"/>
        </w:rPr>
        <w:t xml:space="preserve"> </w:t>
      </w:r>
      <w:r w:rsidR="00EC4DA2" w:rsidRPr="00F83A57">
        <w:rPr>
          <w:rFonts w:ascii="Arial" w:hAnsi="Arial" w:cs="Arial"/>
          <w:lang w:val="lt-LT"/>
        </w:rPr>
        <w:t>akcininkų</w:t>
      </w:r>
      <w:r w:rsidR="00EC4DA2" w:rsidRPr="00F83A57">
        <w:rPr>
          <w:rFonts w:ascii="Arial" w:hAnsi="Arial" w:cs="Arial"/>
          <w:spacing w:val="-11"/>
          <w:lang w:val="lt-LT"/>
        </w:rPr>
        <w:t xml:space="preserve"> </w:t>
      </w:r>
      <w:r w:rsidR="00EC4DA2" w:rsidRPr="00F83A57">
        <w:rPr>
          <w:rFonts w:ascii="Arial" w:hAnsi="Arial" w:cs="Arial"/>
          <w:lang w:val="lt-LT"/>
        </w:rPr>
        <w:t>susirinkimo</w:t>
      </w:r>
    </w:p>
    <w:p w14:paraId="0B95EA1F" w14:textId="68E39522" w:rsidR="00C5075B" w:rsidRPr="00F83A57" w:rsidRDefault="00F83A57">
      <w:pPr>
        <w:pStyle w:val="Heading1"/>
        <w:spacing w:before="73"/>
        <w:ind w:right="213"/>
        <w:jc w:val="center"/>
        <w:rPr>
          <w:rFonts w:ascii="Arial" w:hAnsi="Arial" w:cs="Arial"/>
          <w:b w:val="0"/>
          <w:bCs w:val="0"/>
          <w:lang w:val="lt-LT"/>
        </w:rPr>
      </w:pPr>
      <w:r w:rsidRPr="00F83A57">
        <w:rPr>
          <w:rFonts w:ascii="Arial" w:hAnsi="Arial" w:cs="Arial"/>
          <w:spacing w:val="-1"/>
          <w:lang w:val="lt-LT"/>
        </w:rPr>
        <w:t>BENDRASIS</w:t>
      </w:r>
      <w:r w:rsidRPr="00F83A57">
        <w:rPr>
          <w:rFonts w:ascii="Arial" w:hAnsi="Arial" w:cs="Arial"/>
          <w:spacing w:val="-11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BALSAVIMO</w:t>
      </w:r>
      <w:r w:rsidRPr="00F83A57">
        <w:rPr>
          <w:rFonts w:ascii="Arial" w:hAnsi="Arial" w:cs="Arial"/>
          <w:spacing w:val="-10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BIULETENIS</w:t>
      </w:r>
    </w:p>
    <w:p w14:paraId="114366A7" w14:textId="77777777" w:rsidR="00C5075B" w:rsidRPr="00F83A57" w:rsidRDefault="00C5075B">
      <w:pPr>
        <w:spacing w:before="9" w:line="200" w:lineRule="exact"/>
        <w:rPr>
          <w:sz w:val="20"/>
          <w:szCs w:val="20"/>
          <w:lang w:val="lt-LT"/>
        </w:rPr>
      </w:pPr>
    </w:p>
    <w:p w14:paraId="61C5E1C4" w14:textId="77777777" w:rsidR="00C5075B" w:rsidRPr="00F83A57" w:rsidRDefault="00EC4DA2">
      <w:pPr>
        <w:pStyle w:val="BodyText"/>
        <w:ind w:right="207"/>
        <w:jc w:val="center"/>
        <w:rPr>
          <w:rFonts w:ascii="Arial" w:hAnsi="Arial" w:cs="Arial"/>
          <w:lang w:val="lt-LT"/>
        </w:rPr>
      </w:pPr>
      <w:r w:rsidRPr="00F83A57">
        <w:rPr>
          <w:rFonts w:ascii="Arial" w:hAnsi="Arial" w:cs="Arial"/>
          <w:spacing w:val="-1"/>
          <w:lang w:val="lt-LT"/>
        </w:rPr>
        <w:t>Akcininko</w:t>
      </w:r>
      <w:r w:rsidRPr="00F83A57">
        <w:rPr>
          <w:rFonts w:ascii="Arial" w:hAnsi="Arial" w:cs="Arial"/>
          <w:spacing w:val="-25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vardas,</w:t>
      </w:r>
      <w:r w:rsidRPr="00F83A57">
        <w:rPr>
          <w:rFonts w:ascii="Arial" w:hAnsi="Arial" w:cs="Arial"/>
          <w:spacing w:val="-25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pavardė</w:t>
      </w:r>
      <w:r w:rsidRPr="00F83A57">
        <w:rPr>
          <w:rFonts w:ascii="Arial" w:hAnsi="Arial" w:cs="Arial"/>
          <w:spacing w:val="-24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(pavadinimas)</w:t>
      </w:r>
      <w:r w:rsidRPr="00F83A57">
        <w:rPr>
          <w:rFonts w:ascii="Arial" w:hAnsi="Arial" w:cs="Arial"/>
          <w:spacing w:val="-24"/>
          <w:lang w:val="lt-LT"/>
        </w:rPr>
        <w:t xml:space="preserve"> </w:t>
      </w:r>
      <w:r w:rsidR="00DF2247" w:rsidRPr="00F83A57">
        <w:rPr>
          <w:rFonts w:ascii="Arial" w:hAnsi="Arial" w:cs="Arial"/>
          <w:spacing w:val="-1"/>
          <w:lang w:val="lt-LT"/>
        </w:rPr>
        <w:t>………………..</w:t>
      </w:r>
      <w:r w:rsidRPr="00F83A57">
        <w:rPr>
          <w:rFonts w:ascii="Arial" w:hAnsi="Arial" w:cs="Arial"/>
          <w:spacing w:val="-1"/>
          <w:lang w:val="lt-LT"/>
        </w:rPr>
        <w:t>…………………....................……...................................................…</w:t>
      </w:r>
    </w:p>
    <w:p w14:paraId="7F7318E1" w14:textId="77777777" w:rsidR="00C5075B" w:rsidRPr="00F83A57" w:rsidRDefault="00C5075B">
      <w:pPr>
        <w:spacing w:before="12" w:line="200" w:lineRule="exact"/>
        <w:rPr>
          <w:rFonts w:ascii="Arial" w:hAnsi="Arial" w:cs="Arial"/>
          <w:sz w:val="20"/>
          <w:szCs w:val="20"/>
          <w:lang w:val="lt-LT"/>
        </w:rPr>
      </w:pPr>
    </w:p>
    <w:p w14:paraId="7D8E7987" w14:textId="37D8BD03" w:rsidR="00DF2247" w:rsidRPr="00F83A57" w:rsidRDefault="00EC4DA2" w:rsidP="00DF2247">
      <w:pPr>
        <w:pStyle w:val="BodyText"/>
        <w:ind w:right="255"/>
        <w:jc w:val="center"/>
        <w:rPr>
          <w:rFonts w:ascii="Arial" w:hAnsi="Arial" w:cs="Arial"/>
          <w:lang w:val="lt-LT"/>
        </w:rPr>
      </w:pPr>
      <w:r w:rsidRPr="00F83A57">
        <w:rPr>
          <w:rFonts w:ascii="Arial" w:hAnsi="Arial" w:cs="Arial"/>
          <w:spacing w:val="-1"/>
          <w:lang w:val="lt-LT"/>
        </w:rPr>
        <w:t>Akcininko</w:t>
      </w:r>
      <w:r w:rsidRPr="00F83A57">
        <w:rPr>
          <w:rFonts w:ascii="Arial" w:hAnsi="Arial" w:cs="Arial"/>
          <w:spacing w:val="-25"/>
          <w:lang w:val="lt-LT"/>
        </w:rPr>
        <w:t xml:space="preserve"> </w:t>
      </w:r>
      <w:r w:rsidRPr="00F83A57">
        <w:rPr>
          <w:rFonts w:ascii="Arial" w:hAnsi="Arial" w:cs="Arial"/>
          <w:spacing w:val="-1"/>
          <w:lang w:val="lt-LT"/>
        </w:rPr>
        <w:t>asmens</w:t>
      </w:r>
      <w:r w:rsidRPr="00F83A57">
        <w:rPr>
          <w:rFonts w:ascii="Arial" w:hAnsi="Arial" w:cs="Arial"/>
          <w:spacing w:val="-24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kodas</w:t>
      </w:r>
      <w:r w:rsidRPr="00F83A57">
        <w:rPr>
          <w:rFonts w:ascii="Arial" w:hAnsi="Arial" w:cs="Arial"/>
          <w:spacing w:val="-24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(</w:t>
      </w:r>
      <w:r w:rsidR="00F83A57">
        <w:rPr>
          <w:rFonts w:ascii="Arial" w:hAnsi="Arial" w:cs="Arial"/>
          <w:lang w:val="lt-LT"/>
        </w:rPr>
        <w:t>juridinio asmens</w:t>
      </w:r>
      <w:r w:rsidR="00DF2247" w:rsidRPr="00F83A57">
        <w:rPr>
          <w:rFonts w:ascii="Arial" w:hAnsi="Arial" w:cs="Arial"/>
          <w:lang w:val="lt-LT"/>
        </w:rPr>
        <w:t xml:space="preserve"> </w:t>
      </w:r>
      <w:r w:rsidRPr="00F83A57">
        <w:rPr>
          <w:rFonts w:ascii="Arial" w:hAnsi="Arial" w:cs="Arial"/>
          <w:lang w:val="lt-LT"/>
        </w:rPr>
        <w:t>kodas)</w:t>
      </w:r>
      <w:r w:rsidR="00DF2247" w:rsidRPr="00F83A57">
        <w:rPr>
          <w:rFonts w:ascii="Arial" w:hAnsi="Arial" w:cs="Arial"/>
          <w:lang w:val="lt-LT"/>
        </w:rPr>
        <w:t>………</w:t>
      </w:r>
      <w:r w:rsidRPr="00F83A57">
        <w:rPr>
          <w:rFonts w:ascii="Arial" w:hAnsi="Arial" w:cs="Arial"/>
          <w:lang w:val="lt-LT"/>
        </w:rPr>
        <w:t>…………………………...........................</w:t>
      </w:r>
      <w:r w:rsidR="00DF2247" w:rsidRPr="00F83A57">
        <w:rPr>
          <w:rFonts w:ascii="Arial" w:hAnsi="Arial" w:cs="Arial"/>
          <w:lang w:val="lt-LT"/>
        </w:rPr>
        <w:t>.......................</w:t>
      </w:r>
      <w:r w:rsidRPr="00F83A57">
        <w:rPr>
          <w:rFonts w:ascii="Arial" w:hAnsi="Arial" w:cs="Arial"/>
          <w:lang w:val="lt-LT"/>
        </w:rPr>
        <w:t>...................</w:t>
      </w:r>
    </w:p>
    <w:p w14:paraId="5DD931BE" w14:textId="77777777" w:rsidR="00DF2247" w:rsidRPr="00F83A57" w:rsidRDefault="00DF2247" w:rsidP="00DF2247">
      <w:pPr>
        <w:pStyle w:val="BodyText"/>
        <w:ind w:right="255"/>
        <w:jc w:val="center"/>
        <w:rPr>
          <w:rFonts w:ascii="Arial" w:hAnsi="Arial" w:cs="Arial"/>
          <w:lang w:val="lt-LT"/>
        </w:rPr>
      </w:pPr>
    </w:p>
    <w:p w14:paraId="7056300B" w14:textId="4938673F" w:rsidR="00DF2247" w:rsidRPr="00F83A57" w:rsidRDefault="00DF2247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lt-LT"/>
        </w:rPr>
      </w:pPr>
      <w:r w:rsidRPr="00F83A57">
        <w:rPr>
          <w:rFonts w:ascii="Arial" w:hAnsi="Arial" w:cs="Arial"/>
          <w:lang w:val="lt-LT"/>
        </w:rPr>
        <w:t>Turimų</w:t>
      </w:r>
      <w:r w:rsidR="00F83A57">
        <w:rPr>
          <w:rFonts w:ascii="Arial" w:hAnsi="Arial" w:cs="Arial"/>
          <w:lang w:val="lt-LT"/>
        </w:rPr>
        <w:t xml:space="preserve"> Bendrovės</w:t>
      </w:r>
      <w:r w:rsidRPr="00F83A57">
        <w:rPr>
          <w:rFonts w:ascii="Arial" w:hAnsi="Arial" w:cs="Arial"/>
          <w:lang w:val="lt-LT"/>
        </w:rPr>
        <w:t xml:space="preserve"> akcijų skaičius</w:t>
      </w:r>
      <w:r w:rsidR="00EC4DA2" w:rsidRPr="00F83A57">
        <w:rPr>
          <w:rFonts w:ascii="Arial" w:hAnsi="Arial" w:cs="Arial"/>
          <w:spacing w:val="-1"/>
          <w:w w:val="95"/>
          <w:lang w:val="lt-LT"/>
        </w:rPr>
        <w:t>………</w:t>
      </w:r>
      <w:r w:rsidRPr="00F83A57">
        <w:rPr>
          <w:rFonts w:ascii="Arial" w:hAnsi="Arial" w:cs="Arial"/>
          <w:spacing w:val="-1"/>
          <w:w w:val="95"/>
          <w:lang w:val="lt-LT"/>
        </w:rPr>
        <w:t>...........................................................................................................................................</w:t>
      </w:r>
    </w:p>
    <w:p w14:paraId="357E1706" w14:textId="77777777" w:rsidR="00DF2247" w:rsidRPr="00F83A57" w:rsidRDefault="00DF2247" w:rsidP="00DF2247">
      <w:pPr>
        <w:pStyle w:val="BodyText"/>
        <w:ind w:right="255"/>
        <w:jc w:val="center"/>
        <w:rPr>
          <w:rFonts w:ascii="Arial" w:hAnsi="Arial" w:cs="Arial"/>
          <w:spacing w:val="-1"/>
          <w:w w:val="95"/>
          <w:lang w:val="lt-LT"/>
        </w:rPr>
      </w:pPr>
    </w:p>
    <w:p w14:paraId="414612ED" w14:textId="77777777" w:rsidR="00DF2247" w:rsidRPr="00F83A57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12"/>
        <w:gridCol w:w="7805"/>
      </w:tblGrid>
      <w:tr w:rsidR="00DF2247" w:rsidRPr="00F83A57" w14:paraId="2EB484EE" w14:textId="77777777" w:rsidTr="00F83A57">
        <w:trPr>
          <w:trHeight w:val="617"/>
        </w:trPr>
        <w:tc>
          <w:tcPr>
            <w:tcW w:w="3227" w:type="dxa"/>
            <w:shd w:val="clear" w:color="auto" w:fill="auto"/>
          </w:tcPr>
          <w:p w14:paraId="37B79E94" w14:textId="77777777" w:rsidR="00A6612B" w:rsidRDefault="00A6612B" w:rsidP="0061190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5AA1A604" w14:textId="6DE6BE47" w:rsidR="00DF2247" w:rsidRDefault="00DE2A8C" w:rsidP="0061190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br/>
            </w:r>
            <w:r w:rsidR="00F75640"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SUSIRINKIMO DARBOTVARKĖ</w:t>
            </w:r>
          </w:p>
          <w:p w14:paraId="3850EE75" w14:textId="1A4B6D02" w:rsidR="00A6612B" w:rsidRPr="00F83A57" w:rsidRDefault="00A6612B" w:rsidP="0061190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7870" w:type="dxa"/>
            <w:shd w:val="clear" w:color="auto" w:fill="auto"/>
          </w:tcPr>
          <w:p w14:paraId="47A5F601" w14:textId="77777777" w:rsidR="00A6612B" w:rsidRDefault="00A6612B" w:rsidP="00A6612B">
            <w:pPr>
              <w:pStyle w:val="ListParagraph"/>
              <w:ind w:left="2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7A7EE35C" w14:textId="524EC4FD" w:rsidR="00DE2A8C" w:rsidRDefault="00DE2A8C" w:rsidP="00DE2A8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68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Dėl </w:t>
            </w:r>
            <w:bookmarkStart w:id="1" w:name="_Hlk14268975"/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investicinės kintamojo kapitalo bendrovės </w:t>
            </w:r>
            <w:bookmarkEnd w:id="1"/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"OMX Baltic Benchmark Fund" naujos įstatų redakcijos patvirtinimo, įgaliojimų suteikimo ir kreipimosi į Lietuvos banką.</w:t>
            </w:r>
          </w:p>
          <w:p w14:paraId="2A1F8D2F" w14:textId="77777777" w:rsidR="00DE2A8C" w:rsidRPr="00DE2A8C" w:rsidRDefault="00DE2A8C" w:rsidP="00DE2A8C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ind w:left="368" w:hanging="284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audito įmonės išrinkimo ir audito paslaugų apmokėjimo sąlygų nustatymo.</w:t>
            </w:r>
          </w:p>
          <w:p w14:paraId="7E94D4CC" w14:textId="6AB33860" w:rsidR="00773E86" w:rsidRPr="00DE2A8C" w:rsidRDefault="00773E86" w:rsidP="00DE2A8C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</w:tbl>
    <w:p w14:paraId="5E5C6AD0" w14:textId="77777777" w:rsidR="00DF2247" w:rsidRPr="00F83A57" w:rsidRDefault="00DF2247" w:rsidP="00DF2247">
      <w:pPr>
        <w:pStyle w:val="BodyText"/>
        <w:ind w:right="224"/>
        <w:rPr>
          <w:rFonts w:cs="Times New Roman"/>
          <w:spacing w:val="-1"/>
          <w:w w:val="95"/>
          <w:lang w:val="lt-LT"/>
        </w:rPr>
      </w:pPr>
    </w:p>
    <w:p w14:paraId="1A7A8AED" w14:textId="54249887" w:rsidR="00DF2247" w:rsidRPr="00F83A57" w:rsidRDefault="005728B4" w:rsidP="005728B4">
      <w:pPr>
        <w:pStyle w:val="BodyText"/>
        <w:ind w:right="224"/>
        <w:rPr>
          <w:rFonts w:ascii="Arial" w:hAnsi="Arial" w:cs="Arial"/>
          <w:b/>
          <w:spacing w:val="-1"/>
          <w:w w:val="95"/>
          <w:lang w:val="lt-LT"/>
        </w:rPr>
      </w:pPr>
      <w:r w:rsidRPr="00F83A57">
        <w:rPr>
          <w:rFonts w:ascii="Arial" w:hAnsi="Arial" w:cs="Arial"/>
          <w:b/>
          <w:spacing w:val="-1"/>
          <w:w w:val="95"/>
          <w:lang w:val="lt-LT"/>
        </w:rPr>
        <w:t>BALSAVIMAS</w:t>
      </w:r>
      <w:r w:rsidR="00A6612B">
        <w:rPr>
          <w:rFonts w:ascii="Arial" w:hAnsi="Arial" w:cs="Arial"/>
          <w:b/>
          <w:spacing w:val="-1"/>
          <w:w w:val="95"/>
          <w:lang w:val="lt-LT"/>
        </w:rPr>
        <w:t>:</w:t>
      </w:r>
    </w:p>
    <w:p w14:paraId="6A306602" w14:textId="77777777" w:rsidR="00DF2247" w:rsidRPr="00F83A57" w:rsidRDefault="00DF2247">
      <w:pPr>
        <w:pStyle w:val="BodyText"/>
        <w:ind w:right="224"/>
        <w:jc w:val="center"/>
        <w:rPr>
          <w:rFonts w:cs="Times New Roman"/>
          <w:spacing w:val="-1"/>
          <w:w w:val="95"/>
          <w:lang w:val="lt-LT"/>
        </w:rPr>
      </w:pPr>
    </w:p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5888"/>
        <w:gridCol w:w="1770"/>
      </w:tblGrid>
      <w:tr w:rsidR="005728B4" w:rsidRPr="00F83A57" w14:paraId="56033BF6" w14:textId="77777777" w:rsidTr="005728B4">
        <w:trPr>
          <w:trHeight w:val="724"/>
        </w:trPr>
        <w:tc>
          <w:tcPr>
            <w:tcW w:w="3264" w:type="dxa"/>
            <w:shd w:val="clear" w:color="auto" w:fill="auto"/>
          </w:tcPr>
          <w:p w14:paraId="5DC6589B" w14:textId="74B62031" w:rsidR="005728B4" w:rsidRPr="00F83A57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br/>
            </w: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DARBOTVARKĖS KLAUSIMAS</w:t>
            </w:r>
          </w:p>
        </w:tc>
        <w:tc>
          <w:tcPr>
            <w:tcW w:w="5888" w:type="dxa"/>
            <w:shd w:val="clear" w:color="auto" w:fill="auto"/>
          </w:tcPr>
          <w:p w14:paraId="1D421225" w14:textId="47B7E417" w:rsidR="005728B4" w:rsidRPr="00F83A57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br/>
            </w: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 xml:space="preserve">SPRENDIMAS </w:t>
            </w:r>
          </w:p>
        </w:tc>
        <w:tc>
          <w:tcPr>
            <w:tcW w:w="0" w:type="auto"/>
            <w:shd w:val="clear" w:color="auto" w:fill="auto"/>
          </w:tcPr>
          <w:p w14:paraId="6CA223D2" w14:textId="77777777" w:rsidR="00F75640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ĮRAŠYTI</w:t>
            </w:r>
          </w:p>
          <w:p w14:paraId="0ABED522" w14:textId="72EF97DE" w:rsidR="005728B4" w:rsidRPr="00F83A57" w:rsidRDefault="00F75640" w:rsidP="0061190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  <w:r w:rsidRPr="00F83A57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  <w:t>„UŽ“/ „PRIEŠ“</w:t>
            </w:r>
          </w:p>
        </w:tc>
      </w:tr>
      <w:tr w:rsidR="005728B4" w:rsidRPr="00F83A57" w14:paraId="7F152804" w14:textId="77777777" w:rsidTr="005728B4">
        <w:trPr>
          <w:trHeight w:val="958"/>
        </w:trPr>
        <w:tc>
          <w:tcPr>
            <w:tcW w:w="3264" w:type="dxa"/>
            <w:shd w:val="clear" w:color="auto" w:fill="auto"/>
          </w:tcPr>
          <w:p w14:paraId="5FA32DAF" w14:textId="77777777" w:rsidR="003063A5" w:rsidRDefault="003063A5" w:rsidP="003063A5">
            <w:pPr>
              <w:pStyle w:val="ListParagraph"/>
              <w:ind w:left="59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23FD3198" w14:textId="77777777" w:rsidR="003063A5" w:rsidRDefault="00DE2A8C" w:rsidP="00DE2A8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313" w:right="37" w:hanging="313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investicinės kintamojo kapitalo bendrovės "OMX Baltic Benchmark Fund" naujos įstatų redakcijos patvirtinimo, įgaliojimų suteikimo ir kreipimosi į Lietuvos banką.</w:t>
            </w:r>
          </w:p>
          <w:p w14:paraId="5026D13E" w14:textId="5885E709" w:rsidR="00DE2A8C" w:rsidRPr="00DE2A8C" w:rsidRDefault="00DE2A8C" w:rsidP="00DE2A8C">
            <w:pPr>
              <w:pStyle w:val="ListParagraph"/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888" w:type="dxa"/>
            <w:shd w:val="clear" w:color="auto" w:fill="auto"/>
          </w:tcPr>
          <w:p w14:paraId="72EA4D1B" w14:textId="77777777" w:rsidR="00E0635A" w:rsidRDefault="00E0635A" w:rsidP="00855698">
            <w:pPr>
              <w:ind w:left="447" w:hanging="44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52E6DAAB" w14:textId="77777777" w:rsidR="00DE2A8C" w:rsidRPr="00DE2A8C" w:rsidRDefault="00DE2A8C" w:rsidP="00DE2A8C">
            <w:pPr>
              <w:pStyle w:val="ListParagraph"/>
              <w:numPr>
                <w:ilvl w:val="1"/>
                <w:numId w:val="3"/>
              </w:numPr>
              <w:ind w:left="447" w:hanging="4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Patvirtinti naują investicinės kintamojo kapitalo bendrovės "OMX Baltic Benchmark Fund" įstatų redakciją.</w:t>
            </w:r>
          </w:p>
          <w:p w14:paraId="7D5FB1BA" w14:textId="108F5689" w:rsidR="00DE2A8C" w:rsidRPr="00DE2A8C" w:rsidRDefault="00DE2A8C" w:rsidP="00DE2A8C">
            <w:pPr>
              <w:pStyle w:val="ListParagraph"/>
              <w:numPr>
                <w:ilvl w:val="1"/>
                <w:numId w:val="3"/>
              </w:numPr>
              <w:ind w:left="447" w:hanging="4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Įgalioti uždarosios akcinės bendrovės „Orion Asset Management“ generalinį direktorių pasirašyti naujos redakcijos investicinės kintamojo kapitalo bendrovės "OMX Baltic Benchmark Fund" įstatus.</w:t>
            </w:r>
          </w:p>
          <w:p w14:paraId="5B322414" w14:textId="6E8239A2" w:rsidR="00DE2A8C" w:rsidRPr="00DE2A8C" w:rsidRDefault="00DE2A8C" w:rsidP="00DE2A8C">
            <w:pPr>
              <w:pStyle w:val="ListParagraph"/>
              <w:numPr>
                <w:ilvl w:val="1"/>
                <w:numId w:val="3"/>
              </w:numPr>
              <w:ind w:left="447" w:hanging="426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Pavesti uždarosios akcinės bendrovės „Orion Asset Management“ generaliniam direktoriui ar tinkamai jo įgaliotiems asmenims kreiptis į Lietuvos banką ir jo pritarimui pateikti naują investicinės kintamojo kapitalo bendrovės "OMX Baltic Benchmark Fund" įstatų redakciją</w:t>
            </w:r>
            <w:r w:rsidR="00EC173B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bei, gavus pritarimą</w:t>
            </w:r>
            <w:r w:rsidR="002C0EEA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,</w:t>
            </w:r>
            <w:r w:rsidR="00EC173B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 imtis visų reikalingų veiksmų dėl </w:t>
            </w:r>
            <w:r w:rsidR="002C0EEA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 xml:space="preserve">pakeistų </w:t>
            </w:r>
            <w:r w:rsidR="00EC173B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įstatų įregistravimo Lietuvos Respublikos juridinių asmenų registre.</w:t>
            </w:r>
          </w:p>
          <w:p w14:paraId="3F5F2450" w14:textId="6E9524D7" w:rsidR="00855698" w:rsidRPr="00855698" w:rsidRDefault="00855698" w:rsidP="00DE2A8C">
            <w:pPr>
              <w:pStyle w:val="ListParagraph"/>
              <w:ind w:left="44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0" w:type="auto"/>
            <w:shd w:val="clear" w:color="auto" w:fill="auto"/>
          </w:tcPr>
          <w:p w14:paraId="1B450974" w14:textId="77777777" w:rsidR="005728B4" w:rsidRDefault="005728B4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08BABB04" w14:textId="77777777" w:rsidR="00855698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  <w:p w14:paraId="4000F072" w14:textId="428879F0" w:rsidR="00855698" w:rsidRPr="00F83A57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  <w:tr w:rsidR="00855698" w:rsidRPr="00F83A57" w14:paraId="07C40721" w14:textId="77777777" w:rsidTr="005728B4">
        <w:trPr>
          <w:trHeight w:val="958"/>
        </w:trPr>
        <w:tc>
          <w:tcPr>
            <w:tcW w:w="3264" w:type="dxa"/>
            <w:shd w:val="clear" w:color="auto" w:fill="auto"/>
          </w:tcPr>
          <w:p w14:paraId="640266A6" w14:textId="77777777" w:rsidR="00855698" w:rsidRDefault="00855698" w:rsidP="00855698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53A41351" w14:textId="77777777" w:rsidR="00855698" w:rsidRDefault="00DE2A8C" w:rsidP="00DE2A8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313" w:hanging="313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Dėl audito įmonės išrinkimo ir audito paslaugų apmokėjimo sąlygų nustatymo.</w:t>
            </w:r>
          </w:p>
          <w:p w14:paraId="2237148B" w14:textId="557DBC0D" w:rsidR="00DE2A8C" w:rsidRPr="00DE2A8C" w:rsidRDefault="00DE2A8C" w:rsidP="00DE2A8C">
            <w:pPr>
              <w:pStyle w:val="ListParagraph"/>
              <w:ind w:left="720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5888" w:type="dxa"/>
            <w:shd w:val="clear" w:color="auto" w:fill="auto"/>
          </w:tcPr>
          <w:p w14:paraId="6DE43792" w14:textId="77777777" w:rsidR="00855698" w:rsidRDefault="00855698" w:rsidP="00DE2A8C">
            <w:pPr>
              <w:ind w:left="730" w:hanging="730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  <w:p w14:paraId="3923232C" w14:textId="77777777" w:rsidR="00DE2A8C" w:rsidRPr="00DE2A8C" w:rsidRDefault="00DE2A8C" w:rsidP="00DE2A8C">
            <w:pPr>
              <w:ind w:left="447" w:hanging="44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2.1.</w:t>
            </w: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ab/>
              <w:t>Bendrovės audito įmone išrinkti UŽDARĄJĄ AKCINĘ BENDROVĘ "ERNST &amp; YOUNG BALTIC".</w:t>
            </w:r>
          </w:p>
          <w:p w14:paraId="7C943308" w14:textId="77777777" w:rsidR="00855698" w:rsidRDefault="00DE2A8C" w:rsidP="00DE2A8C">
            <w:pPr>
              <w:ind w:left="447" w:hanging="44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>2.2.</w:t>
            </w:r>
            <w:r w:rsidRPr="00DE2A8C"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  <w:tab/>
              <w:t>Nustatyti, kad, vadovaujantis investicinės kintamojo kapitalo bendrovės "OMX Baltic Benchmark Fund" įstatų 154 punktu, atlyginimas už audito paslaugas nebus didesnis nei 8688,60 EUR, neįskaitant užmokesčio už papildomas konsultacijas.</w:t>
            </w:r>
          </w:p>
          <w:p w14:paraId="361BE6DF" w14:textId="3CA40D04" w:rsidR="00DE2A8C" w:rsidRPr="00DE2A8C" w:rsidRDefault="00DE2A8C" w:rsidP="00DE2A8C">
            <w:pPr>
              <w:ind w:left="730" w:hanging="73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val="lt-LT"/>
              </w:rPr>
            </w:pPr>
          </w:p>
        </w:tc>
        <w:tc>
          <w:tcPr>
            <w:tcW w:w="0" w:type="auto"/>
            <w:shd w:val="clear" w:color="auto" w:fill="auto"/>
          </w:tcPr>
          <w:p w14:paraId="6774D2B3" w14:textId="77777777" w:rsidR="00855698" w:rsidRPr="00F83A57" w:rsidRDefault="00855698" w:rsidP="0061190A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lt-LT"/>
              </w:rPr>
            </w:pPr>
          </w:p>
        </w:tc>
      </w:tr>
    </w:tbl>
    <w:p w14:paraId="768ED1D3" w14:textId="686785E7" w:rsidR="00DF2247" w:rsidRPr="003063A5" w:rsidRDefault="00DF2247" w:rsidP="003063A5">
      <w:pPr>
        <w:pStyle w:val="BodyText"/>
        <w:ind w:right="224"/>
        <w:rPr>
          <w:rFonts w:cs="Times New Roman"/>
          <w:lang w:val="lt-LT"/>
        </w:rPr>
      </w:pPr>
    </w:p>
    <w:p w14:paraId="6014846F" w14:textId="07CD40C4" w:rsidR="00124CA8" w:rsidRDefault="00124CA8" w:rsidP="00124CA8">
      <w:pPr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</w:p>
    <w:p w14:paraId="3F770BAA" w14:textId="77777777" w:rsidR="003063A5" w:rsidRPr="003063A5" w:rsidRDefault="003063A5" w:rsidP="003063A5">
      <w:pPr>
        <w:jc w:val="center"/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</w:pPr>
      <w:r w:rsidRPr="003063A5">
        <w:rPr>
          <w:rFonts w:ascii="Arial" w:hAnsi="Arial" w:cs="Arial"/>
          <w:b/>
          <w:sz w:val="20"/>
          <w:szCs w:val="20"/>
          <w:shd w:val="clear" w:color="auto" w:fill="FFFFFF"/>
          <w:lang w:val="lt-LT"/>
        </w:rPr>
        <w:t>________________________________________________</w:t>
      </w:r>
    </w:p>
    <w:p w14:paraId="6B6117A5" w14:textId="644F6BE8" w:rsidR="00C5075B" w:rsidRPr="00EC173B" w:rsidRDefault="003063A5" w:rsidP="00EC173B">
      <w:pPr>
        <w:jc w:val="center"/>
        <w:rPr>
          <w:rFonts w:ascii="Arial" w:hAnsi="Arial" w:cs="Arial"/>
          <w:bCs/>
          <w:sz w:val="20"/>
          <w:szCs w:val="20"/>
          <w:shd w:val="clear" w:color="auto" w:fill="FFFFFF"/>
          <w:lang w:val="lt-LT"/>
        </w:rPr>
      </w:pPr>
      <w:r w:rsidRPr="003063A5">
        <w:rPr>
          <w:rFonts w:ascii="Arial" w:hAnsi="Arial" w:cs="Arial"/>
          <w:bCs/>
          <w:sz w:val="20"/>
          <w:szCs w:val="20"/>
          <w:shd w:val="clear" w:color="auto" w:fill="FFFFFF"/>
          <w:lang w:val="lt-LT"/>
        </w:rPr>
        <w:t>(Akcininko (jo atstovo) vardas, pavardė, parašas)</w:t>
      </w:r>
    </w:p>
    <w:sectPr w:rsidR="00C5075B" w:rsidRPr="00EC173B">
      <w:type w:val="continuous"/>
      <w:pgSz w:w="11907" w:h="16840"/>
      <w:pgMar w:top="1240" w:right="220" w:bottom="280" w:left="66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6CE6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97EC5"/>
    <w:multiLevelType w:val="hybridMultilevel"/>
    <w:tmpl w:val="98A44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25BE2"/>
    <w:multiLevelType w:val="hybridMultilevel"/>
    <w:tmpl w:val="2DA2E6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4781"/>
    <w:multiLevelType w:val="hybridMultilevel"/>
    <w:tmpl w:val="EB34AD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6842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7D7410"/>
    <w:multiLevelType w:val="hybridMultilevel"/>
    <w:tmpl w:val="5262DED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17056"/>
    <w:multiLevelType w:val="multilevel"/>
    <w:tmpl w:val="62E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EC73FAF"/>
    <w:multiLevelType w:val="hybridMultilevel"/>
    <w:tmpl w:val="EC2AB6E2"/>
    <w:lvl w:ilvl="0" w:tplc="38BA9E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A7D88"/>
    <w:multiLevelType w:val="hybridMultilevel"/>
    <w:tmpl w:val="8FEE27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86774"/>
    <w:multiLevelType w:val="hybridMultilevel"/>
    <w:tmpl w:val="2D72E1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33B96"/>
    <w:multiLevelType w:val="hybridMultilevel"/>
    <w:tmpl w:val="566A777C"/>
    <w:lvl w:ilvl="0" w:tplc="3DFA2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670839"/>
    <w:multiLevelType w:val="hybridMultilevel"/>
    <w:tmpl w:val="5F50E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5B"/>
    <w:rsid w:val="00124CA8"/>
    <w:rsid w:val="001365A0"/>
    <w:rsid w:val="001439A5"/>
    <w:rsid w:val="001F1BEF"/>
    <w:rsid w:val="00234892"/>
    <w:rsid w:val="00260191"/>
    <w:rsid w:val="002A267E"/>
    <w:rsid w:val="002C0EEA"/>
    <w:rsid w:val="002D2197"/>
    <w:rsid w:val="002E7B87"/>
    <w:rsid w:val="003063A5"/>
    <w:rsid w:val="003970BE"/>
    <w:rsid w:val="00550CC7"/>
    <w:rsid w:val="005728B4"/>
    <w:rsid w:val="005A6551"/>
    <w:rsid w:val="005D691E"/>
    <w:rsid w:val="005E297F"/>
    <w:rsid w:val="0061190A"/>
    <w:rsid w:val="006132D9"/>
    <w:rsid w:val="00671358"/>
    <w:rsid w:val="00724350"/>
    <w:rsid w:val="007636A2"/>
    <w:rsid w:val="00773E86"/>
    <w:rsid w:val="007C2C58"/>
    <w:rsid w:val="007C3018"/>
    <w:rsid w:val="007C3158"/>
    <w:rsid w:val="00805781"/>
    <w:rsid w:val="00846804"/>
    <w:rsid w:val="00855698"/>
    <w:rsid w:val="008A1FFC"/>
    <w:rsid w:val="008E3522"/>
    <w:rsid w:val="009820CB"/>
    <w:rsid w:val="009E301A"/>
    <w:rsid w:val="00A21961"/>
    <w:rsid w:val="00A34DEB"/>
    <w:rsid w:val="00A4716F"/>
    <w:rsid w:val="00A6612B"/>
    <w:rsid w:val="00A73E2A"/>
    <w:rsid w:val="00AB7499"/>
    <w:rsid w:val="00B13C22"/>
    <w:rsid w:val="00BA6C37"/>
    <w:rsid w:val="00C5075B"/>
    <w:rsid w:val="00D04287"/>
    <w:rsid w:val="00DE2A8C"/>
    <w:rsid w:val="00DF2247"/>
    <w:rsid w:val="00E0635A"/>
    <w:rsid w:val="00E31574"/>
    <w:rsid w:val="00E74E11"/>
    <w:rsid w:val="00E87AE8"/>
    <w:rsid w:val="00EC173B"/>
    <w:rsid w:val="00EC4DA2"/>
    <w:rsid w:val="00F12F3E"/>
    <w:rsid w:val="00F75640"/>
    <w:rsid w:val="00F82F14"/>
    <w:rsid w:val="00F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E7A89"/>
  <w15:docId w15:val="{55C617D0-F2B5-43F5-B327-D6CAA7A4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3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22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22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7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Kaip atrodo</vt:lpstr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Kaip atrodo</dc:title>
  <dc:creator>Alita</dc:creator>
  <cp:lastModifiedBy>Gailė Kristinavičiūtė</cp:lastModifiedBy>
  <cp:revision>15</cp:revision>
  <cp:lastPrinted>2016-04-07T15:12:00Z</cp:lastPrinted>
  <dcterms:created xsi:type="dcterms:W3CDTF">2018-05-31T11:39:00Z</dcterms:created>
  <dcterms:modified xsi:type="dcterms:W3CDTF">2019-07-17T12:16:00Z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LastSaved">
    <vt:filetime>2015-03-12T00:00:00Z</vt:filetime>
  </property>
</Properties>
</file>