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4" w:rsidRPr="00937F40" w:rsidRDefault="00E83344" w:rsidP="00D13DE9">
      <w:pPr>
        <w:pStyle w:val="Heading10"/>
        <w:keepNext/>
        <w:keepLines/>
        <w:spacing w:after="0"/>
        <w:contextualSpacing/>
        <w:jc w:val="center"/>
        <w:rPr>
          <w:sz w:val="22"/>
          <w:szCs w:val="22"/>
        </w:rPr>
      </w:pPr>
      <w:bookmarkStart w:id="0" w:name="bookmark0"/>
      <w:bookmarkStart w:id="1" w:name="bookmark1"/>
      <w:bookmarkStart w:id="2" w:name="bookmark2"/>
      <w:r w:rsidRPr="00937F40">
        <w:rPr>
          <w:sz w:val="22"/>
          <w:szCs w:val="22"/>
        </w:rPr>
        <w:t>GALĪGĀS AKCIJU ATPIRKŠANAS</w:t>
      </w:r>
      <w:r w:rsidRPr="00937F40">
        <w:rPr>
          <w:sz w:val="22"/>
          <w:szCs w:val="22"/>
        </w:rPr>
        <w:br/>
        <w:t>PROSPEKTS</w:t>
      </w:r>
      <w:bookmarkEnd w:id="0"/>
      <w:bookmarkEnd w:id="1"/>
      <w:bookmarkEnd w:id="2"/>
    </w:p>
    <w:p w:rsidR="00E83344" w:rsidRPr="00937F40" w:rsidRDefault="00E83344" w:rsidP="00D13DE9">
      <w:pPr>
        <w:pStyle w:val="BodyText"/>
        <w:spacing w:after="0"/>
        <w:contextualSpacing/>
        <w:jc w:val="both"/>
        <w:rPr>
          <w:sz w:val="22"/>
          <w:szCs w:val="22"/>
        </w:rPr>
      </w:pPr>
      <w:r w:rsidRPr="00937F40">
        <w:rPr>
          <w:sz w:val="22"/>
          <w:szCs w:val="22"/>
        </w:rPr>
        <w:t xml:space="preserve">2021. </w:t>
      </w:r>
      <w:proofErr w:type="spellStart"/>
      <w:proofErr w:type="gramStart"/>
      <w:r w:rsidRPr="00937F40">
        <w:rPr>
          <w:sz w:val="22"/>
          <w:szCs w:val="22"/>
        </w:rPr>
        <w:t>gada</w:t>
      </w:r>
      <w:proofErr w:type="spellEnd"/>
      <w:proofErr w:type="gramEnd"/>
      <w:r w:rsidRPr="00937F40">
        <w:rPr>
          <w:sz w:val="22"/>
          <w:szCs w:val="22"/>
        </w:rPr>
        <w:t xml:space="preserve"> </w:t>
      </w:r>
      <w:r w:rsidR="001E65DA" w:rsidRPr="009A1F43">
        <w:rPr>
          <w:sz w:val="22"/>
          <w:szCs w:val="22"/>
        </w:rPr>
        <w:t>2</w:t>
      </w:r>
      <w:r w:rsidR="00246660" w:rsidRPr="009A1F43">
        <w:rPr>
          <w:sz w:val="22"/>
          <w:szCs w:val="22"/>
        </w:rPr>
        <w:t>4</w:t>
      </w:r>
      <w:r w:rsidRPr="009A1F43">
        <w:rPr>
          <w:sz w:val="22"/>
          <w:szCs w:val="22"/>
        </w:rPr>
        <w:t xml:space="preserve">. </w:t>
      </w:r>
      <w:proofErr w:type="spellStart"/>
      <w:r w:rsidR="00246660" w:rsidRPr="009A1F43">
        <w:rPr>
          <w:sz w:val="22"/>
          <w:szCs w:val="22"/>
        </w:rPr>
        <w:t>F</w:t>
      </w:r>
      <w:r w:rsidRPr="009A1F43">
        <w:rPr>
          <w:sz w:val="22"/>
          <w:szCs w:val="22"/>
        </w:rPr>
        <w:t>ebruārī</w:t>
      </w:r>
      <w:proofErr w:type="spellEnd"/>
    </w:p>
    <w:p w:rsidR="00246660" w:rsidRDefault="00246660" w:rsidP="00D13DE9">
      <w:pPr>
        <w:pStyle w:val="BodyText"/>
        <w:spacing w:after="0"/>
        <w:contextualSpacing/>
        <w:jc w:val="both"/>
        <w:rPr>
          <w:sz w:val="22"/>
          <w:szCs w:val="22"/>
        </w:rPr>
      </w:pPr>
    </w:p>
    <w:p w:rsidR="00E83344" w:rsidRPr="00937F40" w:rsidRDefault="00E83344" w:rsidP="00D13DE9">
      <w:pPr>
        <w:pStyle w:val="Heading10"/>
        <w:keepNext/>
        <w:keepLines/>
        <w:numPr>
          <w:ilvl w:val="0"/>
          <w:numId w:val="1"/>
        </w:numPr>
        <w:tabs>
          <w:tab w:val="left" w:pos="326"/>
        </w:tabs>
        <w:spacing w:after="0"/>
        <w:contextualSpacing/>
        <w:jc w:val="both"/>
        <w:rPr>
          <w:sz w:val="22"/>
          <w:szCs w:val="22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proofErr w:type="spellStart"/>
      <w:r w:rsidRPr="00937F40">
        <w:rPr>
          <w:sz w:val="22"/>
          <w:szCs w:val="22"/>
        </w:rPr>
        <w:t>Mērķa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sabiedrība</w:t>
      </w:r>
      <w:bookmarkEnd w:id="4"/>
      <w:bookmarkEnd w:id="5"/>
      <w:bookmarkEnd w:id="6"/>
      <w:proofErr w:type="spellEnd"/>
    </w:p>
    <w:p w:rsidR="00E83344" w:rsidRPr="00937F40" w:rsidRDefault="00E83344" w:rsidP="00D13DE9">
      <w:pPr>
        <w:pStyle w:val="BodyText"/>
        <w:spacing w:after="0"/>
        <w:contextualSpacing/>
        <w:jc w:val="both"/>
        <w:rPr>
          <w:rStyle w:val="Hyperlink"/>
          <w:sz w:val="22"/>
          <w:szCs w:val="22"/>
        </w:rPr>
      </w:pPr>
      <w:proofErr w:type="spellStart"/>
      <w:r w:rsidRPr="00937F40">
        <w:rPr>
          <w:sz w:val="22"/>
          <w:szCs w:val="22"/>
        </w:rPr>
        <w:t>Akciju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sabiedrība</w:t>
      </w:r>
      <w:proofErr w:type="spellEnd"/>
      <w:r w:rsidRPr="00937F40">
        <w:rPr>
          <w:sz w:val="22"/>
          <w:szCs w:val="22"/>
        </w:rPr>
        <w:t xml:space="preserve"> "</w:t>
      </w:r>
      <w:proofErr w:type="spellStart"/>
      <w:r w:rsidRPr="00937F40">
        <w:rPr>
          <w:sz w:val="22"/>
          <w:szCs w:val="22"/>
        </w:rPr>
        <w:t>Rīgas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juvelierizstrādājumu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rūpnīca</w:t>
      </w:r>
      <w:proofErr w:type="spellEnd"/>
      <w:r w:rsidRPr="00937F40">
        <w:rPr>
          <w:sz w:val="22"/>
          <w:szCs w:val="22"/>
        </w:rPr>
        <w:t xml:space="preserve">", </w:t>
      </w:r>
      <w:proofErr w:type="spellStart"/>
      <w:r w:rsidRPr="00937F40">
        <w:rPr>
          <w:sz w:val="22"/>
          <w:szCs w:val="22"/>
        </w:rPr>
        <w:t>vienotais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reģistrācijas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numurs</w:t>
      </w:r>
      <w:proofErr w:type="spellEnd"/>
      <w:r w:rsidRPr="00937F40">
        <w:rPr>
          <w:sz w:val="22"/>
          <w:szCs w:val="22"/>
        </w:rPr>
        <w:t xml:space="preserve"> 40003044420, </w:t>
      </w:r>
      <w:proofErr w:type="spellStart"/>
      <w:r w:rsidRPr="00937F40">
        <w:rPr>
          <w:sz w:val="22"/>
          <w:szCs w:val="22"/>
        </w:rPr>
        <w:t>juridiskā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adrese</w:t>
      </w:r>
      <w:proofErr w:type="spellEnd"/>
      <w:r w:rsidRPr="00937F40">
        <w:rPr>
          <w:sz w:val="22"/>
          <w:szCs w:val="22"/>
        </w:rPr>
        <w:t xml:space="preserve">: </w:t>
      </w:r>
      <w:proofErr w:type="spellStart"/>
      <w:r w:rsidRPr="00937F40">
        <w:rPr>
          <w:sz w:val="22"/>
          <w:szCs w:val="22"/>
        </w:rPr>
        <w:t>Terēzes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iela</w:t>
      </w:r>
      <w:proofErr w:type="spellEnd"/>
      <w:r w:rsidRPr="00937F40">
        <w:rPr>
          <w:sz w:val="22"/>
          <w:szCs w:val="22"/>
        </w:rPr>
        <w:t xml:space="preserve"> 1, </w:t>
      </w:r>
      <w:proofErr w:type="spellStart"/>
      <w:r w:rsidRPr="00937F40">
        <w:rPr>
          <w:sz w:val="22"/>
          <w:szCs w:val="22"/>
        </w:rPr>
        <w:t>Rīga</w:t>
      </w:r>
      <w:proofErr w:type="spellEnd"/>
      <w:r w:rsidRPr="00937F40">
        <w:rPr>
          <w:sz w:val="22"/>
          <w:szCs w:val="22"/>
        </w:rPr>
        <w:t xml:space="preserve">, LV-1012, </w:t>
      </w:r>
      <w:proofErr w:type="spellStart"/>
      <w:r w:rsidRPr="00937F40">
        <w:rPr>
          <w:sz w:val="22"/>
          <w:szCs w:val="22"/>
        </w:rPr>
        <w:t>Latvija</w:t>
      </w:r>
      <w:proofErr w:type="spellEnd"/>
      <w:r w:rsidRPr="00937F40">
        <w:rPr>
          <w:sz w:val="22"/>
          <w:szCs w:val="22"/>
        </w:rPr>
        <w:t xml:space="preserve">, </w:t>
      </w:r>
      <w:proofErr w:type="spellStart"/>
      <w:r w:rsidRPr="00937F40">
        <w:rPr>
          <w:sz w:val="22"/>
          <w:szCs w:val="22"/>
        </w:rPr>
        <w:t>tālruņa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numurs</w:t>
      </w:r>
      <w:proofErr w:type="spellEnd"/>
      <w:r w:rsidRPr="00937F40">
        <w:rPr>
          <w:sz w:val="22"/>
          <w:szCs w:val="22"/>
        </w:rPr>
        <w:t xml:space="preserve">: +371 67272790, </w:t>
      </w:r>
      <w:proofErr w:type="spellStart"/>
      <w:r w:rsidRPr="00937F40">
        <w:rPr>
          <w:sz w:val="22"/>
          <w:szCs w:val="22"/>
        </w:rPr>
        <w:t>elektroniskā</w:t>
      </w:r>
      <w:proofErr w:type="spellEnd"/>
      <w:r w:rsidRPr="00937F40">
        <w:rPr>
          <w:sz w:val="22"/>
          <w:szCs w:val="22"/>
        </w:rPr>
        <w:t xml:space="preserve"> pasta </w:t>
      </w:r>
      <w:proofErr w:type="spellStart"/>
      <w:r w:rsidRPr="00937F40">
        <w:rPr>
          <w:sz w:val="22"/>
          <w:szCs w:val="22"/>
        </w:rPr>
        <w:t>adrese</w:t>
      </w:r>
      <w:proofErr w:type="spellEnd"/>
      <w:r w:rsidRPr="00937F40">
        <w:rPr>
          <w:sz w:val="22"/>
          <w:szCs w:val="22"/>
        </w:rPr>
        <w:t xml:space="preserve">: </w:t>
      </w:r>
      <w:hyperlink r:id="rId6" w:history="1">
        <w:r w:rsidRPr="00937F40">
          <w:rPr>
            <w:rStyle w:val="Hyperlink"/>
            <w:sz w:val="22"/>
            <w:szCs w:val="22"/>
          </w:rPr>
          <w:t>info@rigagold.lv</w:t>
        </w:r>
      </w:hyperlink>
      <w:r w:rsidRPr="00937F40">
        <w:rPr>
          <w:sz w:val="22"/>
          <w:szCs w:val="22"/>
        </w:rPr>
        <w:t xml:space="preserve">, </w:t>
      </w:r>
      <w:proofErr w:type="spellStart"/>
      <w:r w:rsidRPr="00937F40">
        <w:rPr>
          <w:sz w:val="22"/>
          <w:szCs w:val="22"/>
        </w:rPr>
        <w:t>mājaslapas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adrese</w:t>
      </w:r>
      <w:proofErr w:type="spellEnd"/>
      <w:r w:rsidRPr="00937F40">
        <w:rPr>
          <w:sz w:val="22"/>
          <w:szCs w:val="22"/>
        </w:rPr>
        <w:t xml:space="preserve">: </w:t>
      </w:r>
      <w:hyperlink r:id="rId7" w:history="1">
        <w:r w:rsidRPr="00937F40">
          <w:rPr>
            <w:rStyle w:val="Hyperlink"/>
            <w:sz w:val="22"/>
            <w:szCs w:val="22"/>
          </w:rPr>
          <w:t>www.rigagold.lv</w:t>
        </w:r>
      </w:hyperlink>
    </w:p>
    <w:p w:rsidR="00993FAE" w:rsidRPr="00937F40" w:rsidRDefault="00993FAE" w:rsidP="00D13DE9">
      <w:pPr>
        <w:pStyle w:val="BodyText"/>
        <w:spacing w:after="0"/>
        <w:contextualSpacing/>
        <w:rPr>
          <w:color w:val="5B87CA"/>
          <w:sz w:val="22"/>
          <w:szCs w:val="22"/>
          <w:u w:val="single"/>
        </w:rPr>
      </w:pPr>
    </w:p>
    <w:p w:rsidR="003D7455" w:rsidRPr="00937F40" w:rsidRDefault="003D7455" w:rsidP="00D13DE9">
      <w:pPr>
        <w:pStyle w:val="Heading10"/>
        <w:keepNext/>
        <w:keepLines/>
        <w:numPr>
          <w:ilvl w:val="0"/>
          <w:numId w:val="1"/>
        </w:numPr>
        <w:tabs>
          <w:tab w:val="left" w:pos="326"/>
        </w:tabs>
        <w:spacing w:after="0"/>
        <w:contextualSpacing/>
        <w:jc w:val="both"/>
        <w:rPr>
          <w:sz w:val="22"/>
          <w:szCs w:val="22"/>
        </w:rPr>
      </w:pPr>
      <w:proofErr w:type="spellStart"/>
      <w:r w:rsidRPr="00937F40">
        <w:rPr>
          <w:sz w:val="22"/>
          <w:szCs w:val="22"/>
        </w:rPr>
        <w:t>Atpircējs</w:t>
      </w:r>
      <w:proofErr w:type="spellEnd"/>
    </w:p>
    <w:p w:rsidR="003D7455" w:rsidRPr="00937F40" w:rsidRDefault="003D7455" w:rsidP="00D13DE9">
      <w:pPr>
        <w:pStyle w:val="BodyText"/>
        <w:spacing w:after="0"/>
        <w:contextualSpacing/>
        <w:jc w:val="both"/>
        <w:rPr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Atpircējs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Sabiedrība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ar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ierobežotu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atbildību</w:t>
      </w:r>
      <w:proofErr w:type="spellEnd"/>
      <w:r w:rsidRPr="00937F40">
        <w:rPr>
          <w:sz w:val="22"/>
          <w:szCs w:val="22"/>
        </w:rPr>
        <w:t xml:space="preserve"> "NAMEJS 1", </w:t>
      </w:r>
      <w:proofErr w:type="spellStart"/>
      <w:r w:rsidRPr="00937F40">
        <w:rPr>
          <w:sz w:val="22"/>
          <w:szCs w:val="22"/>
        </w:rPr>
        <w:t>ierakstīta</w:t>
      </w:r>
      <w:proofErr w:type="spellEnd"/>
      <w:r w:rsidRPr="00937F40">
        <w:rPr>
          <w:sz w:val="22"/>
          <w:szCs w:val="22"/>
        </w:rPr>
        <w:t xml:space="preserve"> LR </w:t>
      </w:r>
      <w:proofErr w:type="spellStart"/>
      <w:r w:rsidRPr="00937F40">
        <w:rPr>
          <w:sz w:val="22"/>
          <w:szCs w:val="22"/>
        </w:rPr>
        <w:t>Komercreģistrā</w:t>
      </w:r>
      <w:proofErr w:type="spellEnd"/>
      <w:r w:rsidRPr="00937F40">
        <w:rPr>
          <w:sz w:val="22"/>
          <w:szCs w:val="22"/>
        </w:rPr>
        <w:t xml:space="preserve"> 2004.gada 8.oktobrī </w:t>
      </w:r>
      <w:proofErr w:type="spellStart"/>
      <w:r w:rsidRPr="00937F40">
        <w:rPr>
          <w:sz w:val="22"/>
          <w:szCs w:val="22"/>
        </w:rPr>
        <w:t>ar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reģistrācijas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numuru</w:t>
      </w:r>
      <w:proofErr w:type="spellEnd"/>
      <w:r w:rsidRPr="00937F40">
        <w:rPr>
          <w:sz w:val="22"/>
          <w:szCs w:val="22"/>
        </w:rPr>
        <w:t xml:space="preserve">: 40003495045, </w:t>
      </w:r>
      <w:proofErr w:type="spellStart"/>
      <w:r w:rsidRPr="00937F40">
        <w:rPr>
          <w:sz w:val="22"/>
          <w:szCs w:val="22"/>
        </w:rPr>
        <w:t>juridiskā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adrese</w:t>
      </w:r>
      <w:proofErr w:type="spellEnd"/>
      <w:r w:rsidRPr="00937F40">
        <w:rPr>
          <w:sz w:val="22"/>
          <w:szCs w:val="22"/>
        </w:rPr>
        <w:t xml:space="preserve">: </w:t>
      </w:r>
      <w:proofErr w:type="spellStart"/>
      <w:r w:rsidRPr="00937F40">
        <w:rPr>
          <w:sz w:val="22"/>
          <w:szCs w:val="22"/>
        </w:rPr>
        <w:t>Rīga</w:t>
      </w:r>
      <w:proofErr w:type="spellEnd"/>
      <w:r w:rsidRPr="00937F40">
        <w:rPr>
          <w:sz w:val="22"/>
          <w:szCs w:val="22"/>
        </w:rPr>
        <w:t xml:space="preserve">, </w:t>
      </w:r>
      <w:proofErr w:type="spellStart"/>
      <w:r w:rsidRPr="00937F40">
        <w:rPr>
          <w:sz w:val="22"/>
          <w:szCs w:val="22"/>
        </w:rPr>
        <w:t>Terēzes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iela</w:t>
      </w:r>
      <w:proofErr w:type="spellEnd"/>
      <w:r w:rsidRPr="00937F40">
        <w:rPr>
          <w:sz w:val="22"/>
          <w:szCs w:val="22"/>
        </w:rPr>
        <w:t xml:space="preserve"> 1A, LV-1012, </w:t>
      </w:r>
      <w:proofErr w:type="spellStart"/>
      <w:r w:rsidRPr="00937F40">
        <w:rPr>
          <w:color w:val="000000"/>
          <w:sz w:val="22"/>
          <w:szCs w:val="22"/>
        </w:rPr>
        <w:t>kurai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tieši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pieder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r w:rsidR="00B02696" w:rsidRPr="00937F40">
        <w:rPr>
          <w:color w:val="000000"/>
          <w:sz w:val="22"/>
          <w:szCs w:val="22"/>
        </w:rPr>
        <w:t>26</w:t>
      </w:r>
      <w:proofErr w:type="gramStart"/>
      <w:r w:rsidRPr="00937F40">
        <w:rPr>
          <w:color w:val="000000"/>
          <w:sz w:val="22"/>
          <w:szCs w:val="22"/>
        </w:rPr>
        <w:t>,</w:t>
      </w:r>
      <w:r w:rsidR="001E65DA" w:rsidRPr="00937F40">
        <w:rPr>
          <w:color w:val="000000"/>
          <w:sz w:val="22"/>
          <w:szCs w:val="22"/>
        </w:rPr>
        <w:t>76</w:t>
      </w:r>
      <w:proofErr w:type="gramEnd"/>
      <w:r w:rsidRPr="00937F40">
        <w:rPr>
          <w:color w:val="000000"/>
          <w:sz w:val="22"/>
          <w:szCs w:val="22"/>
        </w:rPr>
        <w:t xml:space="preserve">%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(</w:t>
      </w:r>
      <w:proofErr w:type="spellStart"/>
      <w:r w:rsidRPr="00937F40">
        <w:rPr>
          <w:color w:val="000000"/>
          <w:sz w:val="22"/>
          <w:szCs w:val="22"/>
        </w:rPr>
        <w:t>turpmāk</w:t>
      </w:r>
      <w:proofErr w:type="spellEnd"/>
      <w:r w:rsidRPr="00937F40">
        <w:rPr>
          <w:color w:val="000000"/>
          <w:sz w:val="22"/>
          <w:szCs w:val="22"/>
        </w:rPr>
        <w:t xml:space="preserve"> - </w:t>
      </w:r>
      <w:proofErr w:type="spellStart"/>
      <w:r w:rsidRPr="00937F40">
        <w:rPr>
          <w:b/>
          <w:bCs/>
          <w:color w:val="000000"/>
          <w:sz w:val="22"/>
          <w:szCs w:val="22"/>
        </w:rPr>
        <w:t>Atpircējs</w:t>
      </w:r>
      <w:proofErr w:type="spellEnd"/>
      <w:r w:rsidRPr="00937F40">
        <w:rPr>
          <w:b/>
          <w:bCs/>
          <w:color w:val="000000"/>
          <w:sz w:val="22"/>
          <w:szCs w:val="22"/>
        </w:rPr>
        <w:t>).</w:t>
      </w:r>
    </w:p>
    <w:p w:rsidR="003D7455" w:rsidRPr="00937F40" w:rsidRDefault="003D7455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Atpircējs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ieguvis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="006A5320" w:rsidRPr="00937F40">
        <w:rPr>
          <w:color w:val="000000"/>
          <w:sz w:val="22"/>
          <w:szCs w:val="22"/>
        </w:rPr>
        <w:t>tieš</w:t>
      </w:r>
      <w:r w:rsidR="00A35D75" w:rsidRPr="00937F40">
        <w:rPr>
          <w:color w:val="000000"/>
          <w:sz w:val="22"/>
          <w:szCs w:val="22"/>
        </w:rPr>
        <w:t>u</w:t>
      </w:r>
      <w:proofErr w:type="spellEnd"/>
      <w:r w:rsidR="00A35D75" w:rsidRPr="00937F40">
        <w:rPr>
          <w:color w:val="000000"/>
          <w:sz w:val="22"/>
          <w:szCs w:val="22"/>
        </w:rPr>
        <w:t xml:space="preserve"> un </w:t>
      </w:r>
      <w:proofErr w:type="spellStart"/>
      <w:proofErr w:type="gramStart"/>
      <w:r w:rsidR="006A5320" w:rsidRPr="00937F40">
        <w:rPr>
          <w:color w:val="000000"/>
          <w:sz w:val="22"/>
          <w:szCs w:val="22"/>
        </w:rPr>
        <w:t>netieš</w:t>
      </w:r>
      <w:r w:rsidR="00A35D75" w:rsidRPr="00937F40">
        <w:rPr>
          <w:color w:val="000000"/>
          <w:sz w:val="22"/>
          <w:szCs w:val="22"/>
        </w:rPr>
        <w:t>u</w:t>
      </w:r>
      <w:proofErr w:type="spellEnd"/>
      <w:r w:rsidR="006A5320" w:rsidRPr="00937F40">
        <w:rPr>
          <w:color w:val="000000"/>
          <w:sz w:val="22"/>
          <w:szCs w:val="22"/>
        </w:rPr>
        <w:t xml:space="preserve"> </w:t>
      </w:r>
      <w:r w:rsidR="006A5320" w:rsidRPr="00937F40">
        <w:rPr>
          <w:color w:val="414142"/>
          <w:sz w:val="22"/>
          <w:szCs w:val="22"/>
          <w:shd w:val="clear" w:color="auto" w:fill="FFFFFF"/>
        </w:rPr>
        <w:t>,</w:t>
      </w:r>
      <w:proofErr w:type="spellStart"/>
      <w:r w:rsidRPr="00937F40">
        <w:rPr>
          <w:color w:val="000000"/>
          <w:sz w:val="22"/>
          <w:szCs w:val="22"/>
        </w:rPr>
        <w:t>līdzdalību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9</w:t>
      </w:r>
      <w:r w:rsidR="001E65DA" w:rsidRPr="00937F40">
        <w:rPr>
          <w:color w:val="000000"/>
          <w:sz w:val="22"/>
          <w:szCs w:val="22"/>
        </w:rPr>
        <w:t>5</w:t>
      </w:r>
      <w:r w:rsidRPr="00937F40">
        <w:rPr>
          <w:color w:val="000000"/>
          <w:sz w:val="22"/>
          <w:szCs w:val="22"/>
        </w:rPr>
        <w:t>,</w:t>
      </w:r>
      <w:r w:rsidR="001E65DA" w:rsidRPr="00937F40">
        <w:rPr>
          <w:color w:val="000000"/>
          <w:sz w:val="22"/>
          <w:szCs w:val="22"/>
        </w:rPr>
        <w:t>03</w:t>
      </w:r>
      <w:r w:rsidRPr="00937F40">
        <w:rPr>
          <w:color w:val="000000"/>
          <w:sz w:val="22"/>
          <w:szCs w:val="22"/>
        </w:rPr>
        <w:t xml:space="preserve">% </w:t>
      </w:r>
      <w:proofErr w:type="spellStart"/>
      <w:r w:rsidRPr="00937F40">
        <w:rPr>
          <w:color w:val="000000"/>
          <w:sz w:val="22"/>
          <w:szCs w:val="22"/>
        </w:rPr>
        <w:t>apmērā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sabiedrībā</w:t>
      </w:r>
      <w:proofErr w:type="spellEnd"/>
      <w:r w:rsidRPr="00937F40">
        <w:rPr>
          <w:color w:val="000000"/>
          <w:sz w:val="22"/>
          <w:szCs w:val="22"/>
        </w:rPr>
        <w:t xml:space="preserve">, par </w:t>
      </w:r>
      <w:proofErr w:type="spellStart"/>
      <w:r w:rsidRPr="00937F40">
        <w:rPr>
          <w:color w:val="000000"/>
          <w:sz w:val="22"/>
          <w:szCs w:val="22"/>
        </w:rPr>
        <w:t>ko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Finanšu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instrumentu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tirgus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likumā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noteiktajā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kārtībā</w:t>
      </w:r>
      <w:proofErr w:type="spellEnd"/>
      <w:r w:rsidRPr="00937F40">
        <w:rPr>
          <w:color w:val="000000"/>
          <w:sz w:val="22"/>
          <w:szCs w:val="22"/>
        </w:rPr>
        <w:t xml:space="preserve"> 202</w:t>
      </w:r>
      <w:r w:rsidR="00B02696" w:rsidRPr="00937F40">
        <w:rPr>
          <w:color w:val="000000"/>
          <w:sz w:val="22"/>
          <w:szCs w:val="22"/>
        </w:rPr>
        <w:t>1</w:t>
      </w:r>
      <w:r w:rsidRPr="00937F40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937F40">
        <w:rPr>
          <w:color w:val="000000"/>
          <w:sz w:val="22"/>
          <w:szCs w:val="22"/>
        </w:rPr>
        <w:t>gada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r w:rsidR="001E65DA" w:rsidRPr="009A1F43">
        <w:rPr>
          <w:color w:val="000000"/>
          <w:sz w:val="22"/>
          <w:szCs w:val="22"/>
        </w:rPr>
        <w:t>24</w:t>
      </w:r>
      <w:r w:rsidRPr="009A1F43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="00B02696" w:rsidRPr="009A1F43">
        <w:rPr>
          <w:color w:val="000000"/>
          <w:sz w:val="22"/>
          <w:szCs w:val="22"/>
        </w:rPr>
        <w:t>februārī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paziņojis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sabiedrībai</w:t>
      </w:r>
      <w:proofErr w:type="spellEnd"/>
      <w:r w:rsidRPr="00937F40">
        <w:rPr>
          <w:color w:val="000000"/>
          <w:sz w:val="22"/>
          <w:szCs w:val="22"/>
        </w:rPr>
        <w:t xml:space="preserve"> un </w:t>
      </w:r>
      <w:proofErr w:type="spellStart"/>
      <w:r w:rsidRPr="00937F40">
        <w:rPr>
          <w:color w:val="000000"/>
          <w:sz w:val="22"/>
          <w:szCs w:val="22"/>
        </w:rPr>
        <w:t>Finanšu</w:t>
      </w:r>
      <w:proofErr w:type="spellEnd"/>
      <w:r w:rsidRPr="00937F40">
        <w:rPr>
          <w:color w:val="000000"/>
          <w:sz w:val="22"/>
          <w:szCs w:val="22"/>
        </w:rPr>
        <w:t xml:space="preserve"> un </w:t>
      </w:r>
      <w:proofErr w:type="spellStart"/>
      <w:r w:rsidRPr="00937F40">
        <w:rPr>
          <w:color w:val="000000"/>
          <w:sz w:val="22"/>
          <w:szCs w:val="22"/>
        </w:rPr>
        <w:t>kapitāla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tirgus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komisijai</w:t>
      </w:r>
      <w:proofErr w:type="spellEnd"/>
      <w:r w:rsidRPr="00937F40">
        <w:rPr>
          <w:color w:val="000000"/>
          <w:sz w:val="22"/>
          <w:szCs w:val="22"/>
        </w:rPr>
        <w:t>.</w:t>
      </w:r>
    </w:p>
    <w:p w:rsidR="008D7FC3" w:rsidRPr="00937F40" w:rsidRDefault="008D7FC3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Atpircējs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netiešo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līdzdalību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īsteno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caur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sekojošiem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akcionāriem</w:t>
      </w:r>
      <w:proofErr w:type="spellEnd"/>
      <w:r w:rsidRPr="00937F40">
        <w:rPr>
          <w:color w:val="000000"/>
          <w:sz w:val="22"/>
          <w:szCs w:val="22"/>
        </w:rPr>
        <w:t>:</w:t>
      </w:r>
    </w:p>
    <w:p w:rsidR="008D7FC3" w:rsidRPr="00937F40" w:rsidRDefault="008D7FC3" w:rsidP="00D13DE9">
      <w:pPr>
        <w:pStyle w:val="BodyText"/>
        <w:numPr>
          <w:ilvl w:val="0"/>
          <w:numId w:val="4"/>
        </w:numPr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sz w:val="22"/>
          <w:szCs w:val="22"/>
        </w:rPr>
        <w:t>Valentinu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Istominu</w:t>
      </w:r>
      <w:proofErr w:type="spellEnd"/>
      <w:r w:rsidRPr="00937F40">
        <w:rPr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kuram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pieder</w:t>
      </w:r>
      <w:proofErr w:type="spellEnd"/>
      <w:r w:rsidRPr="00937F40">
        <w:rPr>
          <w:color w:val="000000"/>
          <w:sz w:val="22"/>
          <w:szCs w:val="22"/>
        </w:rPr>
        <w:t xml:space="preserve"> 29,52%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>;</w:t>
      </w:r>
    </w:p>
    <w:p w:rsidR="00922212" w:rsidRPr="00937F40" w:rsidRDefault="000D1693" w:rsidP="00D13DE9">
      <w:pPr>
        <w:pStyle w:val="BodyText"/>
        <w:numPr>
          <w:ilvl w:val="0"/>
          <w:numId w:val="4"/>
        </w:numPr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sz w:val="22"/>
          <w:szCs w:val="22"/>
        </w:rPr>
        <w:t>Aleftīnu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Struļeviču</w:t>
      </w:r>
      <w:proofErr w:type="spellEnd"/>
      <w:r w:rsidRPr="00937F40">
        <w:rPr>
          <w:sz w:val="22"/>
          <w:szCs w:val="22"/>
        </w:rPr>
        <w:t xml:space="preserve">, </w:t>
      </w:r>
      <w:proofErr w:type="spellStart"/>
      <w:r w:rsidRPr="00937F40">
        <w:rPr>
          <w:sz w:val="22"/>
          <w:szCs w:val="22"/>
        </w:rPr>
        <w:t>kurai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pieder</w:t>
      </w:r>
      <w:proofErr w:type="spellEnd"/>
      <w:r w:rsidRPr="00937F40">
        <w:rPr>
          <w:sz w:val="22"/>
          <w:szCs w:val="22"/>
        </w:rPr>
        <w:t xml:space="preserve"> </w:t>
      </w:r>
      <w:r w:rsidR="00922212" w:rsidRPr="00937F40">
        <w:rPr>
          <w:sz w:val="22"/>
          <w:szCs w:val="22"/>
        </w:rPr>
        <w:t xml:space="preserve">22.06% </w:t>
      </w:r>
      <w:proofErr w:type="spellStart"/>
      <w:r w:rsidR="00922212" w:rsidRPr="00937F40">
        <w:rPr>
          <w:color w:val="000000"/>
          <w:sz w:val="22"/>
          <w:szCs w:val="22"/>
        </w:rPr>
        <w:t>Mērķa</w:t>
      </w:r>
      <w:proofErr w:type="spellEnd"/>
      <w:r w:rsidR="00922212" w:rsidRPr="00937F40">
        <w:rPr>
          <w:color w:val="000000"/>
          <w:sz w:val="22"/>
          <w:szCs w:val="22"/>
        </w:rPr>
        <w:t xml:space="preserve"> </w:t>
      </w:r>
      <w:proofErr w:type="spellStart"/>
      <w:r w:rsidR="00922212" w:rsidRPr="00937F40">
        <w:rPr>
          <w:color w:val="000000"/>
          <w:sz w:val="22"/>
          <w:szCs w:val="22"/>
        </w:rPr>
        <w:t>sabiedrības</w:t>
      </w:r>
      <w:proofErr w:type="spellEnd"/>
      <w:r w:rsidR="00922212" w:rsidRPr="00937F40">
        <w:rPr>
          <w:color w:val="000000"/>
          <w:sz w:val="22"/>
          <w:szCs w:val="22"/>
        </w:rPr>
        <w:t xml:space="preserve"> </w:t>
      </w:r>
      <w:proofErr w:type="spellStart"/>
      <w:r w:rsidR="00922212" w:rsidRPr="00937F40">
        <w:rPr>
          <w:color w:val="000000"/>
          <w:sz w:val="22"/>
          <w:szCs w:val="22"/>
        </w:rPr>
        <w:t>akciju</w:t>
      </w:r>
      <w:proofErr w:type="spellEnd"/>
      <w:r w:rsidR="00922212" w:rsidRPr="00937F40">
        <w:rPr>
          <w:color w:val="000000"/>
          <w:sz w:val="22"/>
          <w:szCs w:val="22"/>
        </w:rPr>
        <w:t>;</w:t>
      </w:r>
    </w:p>
    <w:p w:rsidR="00922212" w:rsidRPr="00937F40" w:rsidRDefault="00922212" w:rsidP="00D13DE9">
      <w:pPr>
        <w:pStyle w:val="BodyText"/>
        <w:numPr>
          <w:ilvl w:val="0"/>
          <w:numId w:val="4"/>
        </w:numPr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Vladimiru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Cadoviču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sz w:val="22"/>
          <w:szCs w:val="22"/>
        </w:rPr>
        <w:t>kuram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pieder</w:t>
      </w:r>
      <w:proofErr w:type="spellEnd"/>
      <w:r w:rsidRPr="00937F40">
        <w:rPr>
          <w:sz w:val="22"/>
          <w:szCs w:val="22"/>
        </w:rPr>
        <w:t xml:space="preserve"> </w:t>
      </w:r>
      <w:r w:rsidR="00113BBD" w:rsidRPr="00937F40">
        <w:rPr>
          <w:sz w:val="22"/>
          <w:szCs w:val="22"/>
        </w:rPr>
        <w:t>6</w:t>
      </w:r>
      <w:r w:rsidRPr="00937F40">
        <w:rPr>
          <w:sz w:val="22"/>
          <w:szCs w:val="22"/>
        </w:rPr>
        <w:t>.</w:t>
      </w:r>
      <w:r w:rsidR="00113BBD" w:rsidRPr="00937F40">
        <w:rPr>
          <w:sz w:val="22"/>
          <w:szCs w:val="22"/>
        </w:rPr>
        <w:t>15</w:t>
      </w:r>
      <w:r w:rsidRPr="00937F40">
        <w:rPr>
          <w:sz w:val="22"/>
          <w:szCs w:val="22"/>
        </w:rPr>
        <w:t xml:space="preserve"> %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>;</w:t>
      </w:r>
    </w:p>
    <w:p w:rsidR="00113BBD" w:rsidRPr="00937F40" w:rsidRDefault="00922212" w:rsidP="00D13DE9">
      <w:pPr>
        <w:pStyle w:val="BodyText"/>
        <w:numPr>
          <w:ilvl w:val="0"/>
          <w:numId w:val="4"/>
        </w:numPr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sz w:val="22"/>
          <w:szCs w:val="22"/>
        </w:rPr>
        <w:t>Sergeju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Safronovu</w:t>
      </w:r>
      <w:proofErr w:type="spellEnd"/>
      <w:proofErr w:type="gramStart"/>
      <w:r w:rsidRPr="00937F40">
        <w:rPr>
          <w:sz w:val="22"/>
          <w:szCs w:val="22"/>
        </w:rPr>
        <w:t xml:space="preserve">, </w:t>
      </w:r>
      <w:r w:rsidR="00113BBD" w:rsidRPr="00937F40">
        <w:rPr>
          <w:sz w:val="22"/>
          <w:szCs w:val="22"/>
        </w:rPr>
        <w:t>,</w:t>
      </w:r>
      <w:proofErr w:type="gramEnd"/>
      <w:r w:rsidR="00113BBD" w:rsidRPr="00937F40">
        <w:rPr>
          <w:sz w:val="22"/>
          <w:szCs w:val="22"/>
        </w:rPr>
        <w:t xml:space="preserve"> </w:t>
      </w:r>
      <w:r w:rsidRPr="00937F40">
        <w:rPr>
          <w:sz w:val="22"/>
          <w:szCs w:val="22"/>
        </w:rPr>
        <w:t xml:space="preserve"> </w:t>
      </w:r>
      <w:proofErr w:type="spellStart"/>
      <w:r w:rsidR="00113BBD" w:rsidRPr="00937F40">
        <w:rPr>
          <w:sz w:val="22"/>
          <w:szCs w:val="22"/>
        </w:rPr>
        <w:t>kuram</w:t>
      </w:r>
      <w:proofErr w:type="spellEnd"/>
      <w:r w:rsidR="00113BBD" w:rsidRPr="00937F40">
        <w:rPr>
          <w:sz w:val="22"/>
          <w:szCs w:val="22"/>
        </w:rPr>
        <w:t xml:space="preserve"> </w:t>
      </w:r>
      <w:proofErr w:type="spellStart"/>
      <w:r w:rsidR="00113BBD" w:rsidRPr="00937F40">
        <w:rPr>
          <w:sz w:val="22"/>
          <w:szCs w:val="22"/>
        </w:rPr>
        <w:t>pieder</w:t>
      </w:r>
      <w:proofErr w:type="spellEnd"/>
      <w:r w:rsidR="00113BBD" w:rsidRPr="00937F40">
        <w:rPr>
          <w:sz w:val="22"/>
          <w:szCs w:val="22"/>
        </w:rPr>
        <w:t xml:space="preserve"> 10.5</w:t>
      </w:r>
      <w:r w:rsidR="00E61725" w:rsidRPr="00937F40">
        <w:rPr>
          <w:sz w:val="22"/>
          <w:szCs w:val="22"/>
        </w:rPr>
        <w:t>4</w:t>
      </w:r>
      <w:r w:rsidR="00113BBD" w:rsidRPr="00937F40">
        <w:rPr>
          <w:sz w:val="22"/>
          <w:szCs w:val="22"/>
        </w:rPr>
        <w:t xml:space="preserve"> % </w:t>
      </w:r>
      <w:proofErr w:type="spellStart"/>
      <w:r w:rsidR="00113BBD" w:rsidRPr="00937F40">
        <w:rPr>
          <w:color w:val="000000"/>
          <w:sz w:val="22"/>
          <w:szCs w:val="22"/>
        </w:rPr>
        <w:t>Mērķa</w:t>
      </w:r>
      <w:proofErr w:type="spellEnd"/>
      <w:r w:rsidR="00113BBD" w:rsidRPr="00937F40">
        <w:rPr>
          <w:color w:val="000000"/>
          <w:sz w:val="22"/>
          <w:szCs w:val="22"/>
        </w:rPr>
        <w:t xml:space="preserve"> </w:t>
      </w:r>
      <w:proofErr w:type="spellStart"/>
      <w:r w:rsidR="00113BBD" w:rsidRPr="00937F40">
        <w:rPr>
          <w:color w:val="000000"/>
          <w:sz w:val="22"/>
          <w:szCs w:val="22"/>
        </w:rPr>
        <w:t>sabiedrības</w:t>
      </w:r>
      <w:proofErr w:type="spellEnd"/>
      <w:r w:rsidR="00113BBD" w:rsidRPr="00937F40">
        <w:rPr>
          <w:color w:val="000000"/>
          <w:sz w:val="22"/>
          <w:szCs w:val="22"/>
        </w:rPr>
        <w:t xml:space="preserve"> </w:t>
      </w:r>
      <w:proofErr w:type="spellStart"/>
      <w:r w:rsidR="00113BBD" w:rsidRPr="00937F40">
        <w:rPr>
          <w:color w:val="000000"/>
          <w:sz w:val="22"/>
          <w:szCs w:val="22"/>
        </w:rPr>
        <w:t>akciju</w:t>
      </w:r>
      <w:proofErr w:type="spellEnd"/>
      <w:r w:rsidR="00E61725" w:rsidRPr="00937F40">
        <w:rPr>
          <w:color w:val="000000"/>
          <w:sz w:val="22"/>
          <w:szCs w:val="22"/>
        </w:rPr>
        <w:t>.</w:t>
      </w:r>
    </w:p>
    <w:p w:rsidR="008D7FC3" w:rsidRPr="00937F40" w:rsidRDefault="008D7FC3" w:rsidP="00D13DE9">
      <w:pPr>
        <w:pStyle w:val="BodyText"/>
        <w:spacing w:after="0"/>
        <w:ind w:left="720"/>
        <w:contextualSpacing/>
        <w:jc w:val="both"/>
        <w:rPr>
          <w:color w:val="000000"/>
          <w:sz w:val="22"/>
          <w:szCs w:val="22"/>
        </w:rPr>
      </w:pPr>
    </w:p>
    <w:p w:rsidR="004D3807" w:rsidRPr="00937F40" w:rsidRDefault="004D3807" w:rsidP="00D13DE9">
      <w:pPr>
        <w:pStyle w:val="Heading10"/>
        <w:keepNext/>
        <w:keepLines/>
        <w:numPr>
          <w:ilvl w:val="0"/>
          <w:numId w:val="1"/>
        </w:numPr>
        <w:tabs>
          <w:tab w:val="left" w:pos="341"/>
        </w:tabs>
        <w:spacing w:after="0"/>
        <w:contextualSpacing/>
        <w:jc w:val="both"/>
        <w:rPr>
          <w:sz w:val="22"/>
          <w:szCs w:val="22"/>
        </w:rPr>
      </w:pPr>
      <w:bookmarkStart w:id="7" w:name="bookmark26"/>
      <w:bookmarkStart w:id="8" w:name="bookmark27"/>
      <w:bookmarkStart w:id="9" w:name="bookmark29"/>
      <w:proofErr w:type="spellStart"/>
      <w:r w:rsidRPr="00937F40">
        <w:rPr>
          <w:color w:val="000000"/>
          <w:sz w:val="22"/>
          <w:szCs w:val="22"/>
        </w:rPr>
        <w:t>Galīgās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atpirkšanas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veikšanas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pamats</w:t>
      </w:r>
      <w:bookmarkEnd w:id="7"/>
      <w:bookmarkEnd w:id="8"/>
      <w:bookmarkEnd w:id="9"/>
      <w:proofErr w:type="spellEnd"/>
    </w:p>
    <w:p w:rsidR="004D3807" w:rsidRPr="00937F40" w:rsidRDefault="004D3807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Atpircējs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veic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galīgo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atpirkšanu</w:t>
      </w:r>
      <w:proofErr w:type="spellEnd"/>
      <w:r w:rsidR="006A5320" w:rsidRPr="00937F40">
        <w:rPr>
          <w:color w:val="000000"/>
          <w:sz w:val="22"/>
          <w:szCs w:val="22"/>
        </w:rPr>
        <w:t xml:space="preserve"> (</w:t>
      </w:r>
      <w:proofErr w:type="spellStart"/>
      <w:r w:rsidR="006A5320" w:rsidRPr="00937F40">
        <w:rPr>
          <w:color w:val="000000"/>
          <w:sz w:val="22"/>
          <w:szCs w:val="22"/>
        </w:rPr>
        <w:t>turpmāk</w:t>
      </w:r>
      <w:proofErr w:type="spellEnd"/>
      <w:r w:rsidR="006A5320" w:rsidRPr="00937F40">
        <w:rPr>
          <w:color w:val="000000"/>
          <w:sz w:val="22"/>
          <w:szCs w:val="22"/>
        </w:rPr>
        <w:t xml:space="preserve">- </w:t>
      </w:r>
      <w:proofErr w:type="spellStart"/>
      <w:r w:rsidR="006A5320" w:rsidRPr="00937F40">
        <w:rPr>
          <w:b/>
          <w:bCs/>
          <w:color w:val="000000"/>
          <w:sz w:val="22"/>
          <w:szCs w:val="22"/>
        </w:rPr>
        <w:t>Atpirkšana</w:t>
      </w:r>
      <w:proofErr w:type="spellEnd"/>
      <w:r w:rsidR="006A5320" w:rsidRPr="00937F40">
        <w:rPr>
          <w:b/>
          <w:bCs/>
          <w:color w:val="000000"/>
          <w:sz w:val="22"/>
          <w:szCs w:val="22"/>
        </w:rPr>
        <w:t xml:space="preserve">) </w:t>
      </w:r>
      <w:proofErr w:type="spellStart"/>
      <w:r w:rsidR="006A5320" w:rsidRPr="00937F40">
        <w:rPr>
          <w:color w:val="000000"/>
          <w:sz w:val="22"/>
          <w:szCs w:val="22"/>
        </w:rPr>
        <w:t>pēc</w:t>
      </w:r>
      <w:proofErr w:type="spellEnd"/>
      <w:r w:rsidR="006A5320" w:rsidRPr="00937F40">
        <w:rPr>
          <w:color w:val="000000"/>
          <w:sz w:val="22"/>
          <w:szCs w:val="22"/>
        </w:rPr>
        <w:t xml:space="preserve"> </w:t>
      </w:r>
      <w:proofErr w:type="spellStart"/>
      <w:r w:rsidR="006A5320" w:rsidRPr="00937F40">
        <w:rPr>
          <w:color w:val="000000"/>
          <w:sz w:val="22"/>
          <w:szCs w:val="22"/>
        </w:rPr>
        <w:t>obligātās</w:t>
      </w:r>
      <w:proofErr w:type="spellEnd"/>
      <w:r w:rsidR="006A5320" w:rsidRPr="00937F40">
        <w:rPr>
          <w:color w:val="000000"/>
          <w:sz w:val="22"/>
          <w:szCs w:val="22"/>
        </w:rPr>
        <w:t xml:space="preserve"> </w:t>
      </w:r>
      <w:proofErr w:type="spellStart"/>
      <w:r w:rsidR="006A5320" w:rsidRPr="00937F40">
        <w:rPr>
          <w:color w:val="000000"/>
          <w:sz w:val="22"/>
          <w:szCs w:val="22"/>
        </w:rPr>
        <w:t>akciju</w:t>
      </w:r>
      <w:proofErr w:type="spellEnd"/>
      <w:r w:rsidR="006A5320" w:rsidRPr="00937F40">
        <w:rPr>
          <w:color w:val="000000"/>
          <w:sz w:val="22"/>
          <w:szCs w:val="22"/>
        </w:rPr>
        <w:t xml:space="preserve"> </w:t>
      </w:r>
      <w:proofErr w:type="spellStart"/>
      <w:r w:rsidR="006A5320" w:rsidRPr="00937F40">
        <w:rPr>
          <w:color w:val="000000"/>
          <w:sz w:val="22"/>
          <w:szCs w:val="22"/>
        </w:rPr>
        <w:t>atpirkšanas</w:t>
      </w:r>
      <w:proofErr w:type="spellEnd"/>
      <w:r w:rsidR="006A5320" w:rsidRPr="00937F40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saskaņā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ar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Finanšu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instrumentu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tirgus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likuma</w:t>
      </w:r>
      <w:proofErr w:type="spellEnd"/>
      <w:r w:rsidRPr="009A1F43">
        <w:rPr>
          <w:color w:val="000000"/>
          <w:sz w:val="22"/>
          <w:szCs w:val="22"/>
        </w:rPr>
        <w:t xml:space="preserve"> 81. </w:t>
      </w:r>
      <w:proofErr w:type="spellStart"/>
      <w:proofErr w:type="gramStart"/>
      <w:r w:rsidRPr="009A1F43">
        <w:rPr>
          <w:color w:val="000000"/>
          <w:sz w:val="22"/>
          <w:szCs w:val="22"/>
        </w:rPr>
        <w:t>panta</w:t>
      </w:r>
      <w:proofErr w:type="spellEnd"/>
      <w:proofErr w:type="gram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otrās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daļas</w:t>
      </w:r>
      <w:proofErr w:type="spellEnd"/>
      <w:r w:rsidRPr="009A1F43">
        <w:rPr>
          <w:color w:val="000000"/>
          <w:sz w:val="22"/>
          <w:szCs w:val="22"/>
        </w:rPr>
        <w:t xml:space="preserve"> </w:t>
      </w:r>
      <w:proofErr w:type="spellStart"/>
      <w:r w:rsidRPr="009A1F43">
        <w:rPr>
          <w:color w:val="000000"/>
          <w:sz w:val="22"/>
          <w:szCs w:val="22"/>
        </w:rPr>
        <w:t>prasībām</w:t>
      </w:r>
      <w:proofErr w:type="spellEnd"/>
      <w:r w:rsidRPr="009A1F43">
        <w:rPr>
          <w:color w:val="000000"/>
          <w:sz w:val="22"/>
          <w:szCs w:val="22"/>
        </w:rPr>
        <w:t>,</w:t>
      </w:r>
      <w:r w:rsidRPr="00937F40">
        <w:rPr>
          <w:color w:val="000000"/>
          <w:sz w:val="22"/>
          <w:szCs w:val="22"/>
        </w:rPr>
        <w:t xml:space="preserve"> jo </w:t>
      </w:r>
      <w:proofErr w:type="spellStart"/>
      <w:r w:rsidRPr="00937F40">
        <w:rPr>
          <w:color w:val="000000"/>
          <w:sz w:val="22"/>
          <w:szCs w:val="22"/>
        </w:rPr>
        <w:t>ir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ieguvis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būtisku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līdzdalību</w:t>
      </w:r>
      <w:proofErr w:type="spellEnd"/>
      <w:r w:rsidRPr="00937F40">
        <w:rPr>
          <w:color w:val="000000"/>
          <w:sz w:val="22"/>
          <w:szCs w:val="22"/>
        </w:rPr>
        <w:t xml:space="preserve"> 9</w:t>
      </w:r>
      <w:r w:rsidR="00E61725" w:rsidRPr="00937F40">
        <w:rPr>
          <w:color w:val="000000"/>
          <w:sz w:val="22"/>
          <w:szCs w:val="22"/>
        </w:rPr>
        <w:t>5</w:t>
      </w:r>
      <w:r w:rsidRPr="00937F40">
        <w:rPr>
          <w:color w:val="000000"/>
          <w:sz w:val="22"/>
          <w:szCs w:val="22"/>
        </w:rPr>
        <w:t>,</w:t>
      </w:r>
      <w:r w:rsidR="00E61725" w:rsidRPr="00937F40">
        <w:rPr>
          <w:color w:val="000000"/>
          <w:sz w:val="22"/>
          <w:szCs w:val="22"/>
        </w:rPr>
        <w:t>03</w:t>
      </w:r>
      <w:r w:rsidRPr="00937F40">
        <w:rPr>
          <w:color w:val="000000"/>
          <w:sz w:val="22"/>
          <w:szCs w:val="22"/>
        </w:rPr>
        <w:t xml:space="preserve">% </w:t>
      </w:r>
      <w:proofErr w:type="spellStart"/>
      <w:r w:rsidRPr="00937F40">
        <w:rPr>
          <w:color w:val="000000"/>
          <w:sz w:val="22"/>
          <w:szCs w:val="22"/>
        </w:rPr>
        <w:t>apmērā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t.i</w:t>
      </w:r>
      <w:proofErr w:type="spellEnd"/>
      <w:r w:rsidRPr="00937F40">
        <w:rPr>
          <w:color w:val="000000"/>
          <w:sz w:val="22"/>
          <w:szCs w:val="22"/>
        </w:rPr>
        <w:t xml:space="preserve">., </w:t>
      </w:r>
      <w:proofErr w:type="spellStart"/>
      <w:r w:rsidRPr="00937F40">
        <w:rPr>
          <w:color w:val="000000"/>
          <w:sz w:val="22"/>
          <w:szCs w:val="22"/>
        </w:rPr>
        <w:t>tādā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daudzumā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kas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pārsniedz</w:t>
      </w:r>
      <w:proofErr w:type="spellEnd"/>
      <w:r w:rsidRPr="00937F40">
        <w:rPr>
          <w:color w:val="000000"/>
          <w:sz w:val="22"/>
          <w:szCs w:val="22"/>
        </w:rPr>
        <w:t xml:space="preserve"> 95 </w:t>
      </w:r>
      <w:proofErr w:type="spellStart"/>
      <w:r w:rsidRPr="00937F40">
        <w:rPr>
          <w:color w:val="000000"/>
          <w:sz w:val="22"/>
          <w:szCs w:val="22"/>
        </w:rPr>
        <w:t>procentus</w:t>
      </w:r>
      <w:proofErr w:type="spellEnd"/>
      <w:r w:rsidRPr="00937F40">
        <w:rPr>
          <w:color w:val="000000"/>
          <w:sz w:val="22"/>
          <w:szCs w:val="22"/>
        </w:rPr>
        <w:t xml:space="preserve"> no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balsstiesīgo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kopskaita</w:t>
      </w:r>
      <w:proofErr w:type="spellEnd"/>
      <w:r w:rsidRPr="00937F40">
        <w:rPr>
          <w:color w:val="000000"/>
          <w:sz w:val="22"/>
          <w:szCs w:val="22"/>
        </w:rPr>
        <w:t>.</w:t>
      </w:r>
    </w:p>
    <w:p w:rsidR="006A5320" w:rsidRPr="00937F40" w:rsidRDefault="006A5320" w:rsidP="00D13DE9">
      <w:pPr>
        <w:pStyle w:val="BodyText"/>
        <w:spacing w:after="0"/>
        <w:contextualSpacing/>
        <w:jc w:val="both"/>
        <w:rPr>
          <w:sz w:val="22"/>
          <w:szCs w:val="22"/>
        </w:rPr>
      </w:pPr>
    </w:p>
    <w:p w:rsidR="00E20A21" w:rsidRPr="00937F40" w:rsidRDefault="00E20A21" w:rsidP="00D13DE9">
      <w:pPr>
        <w:pStyle w:val="Heading10"/>
        <w:keepNext/>
        <w:keepLines/>
        <w:numPr>
          <w:ilvl w:val="0"/>
          <w:numId w:val="1"/>
        </w:numPr>
        <w:tabs>
          <w:tab w:val="left" w:pos="373"/>
        </w:tabs>
        <w:spacing w:after="0"/>
        <w:contextualSpacing/>
        <w:rPr>
          <w:sz w:val="22"/>
          <w:szCs w:val="22"/>
        </w:rPr>
      </w:pPr>
      <w:bookmarkStart w:id="10" w:name="bookmark34"/>
      <w:bookmarkStart w:id="11" w:name="bookmark35"/>
      <w:bookmarkStart w:id="12" w:name="bookmark37"/>
      <w:proofErr w:type="spellStart"/>
      <w:r w:rsidRPr="00937F40">
        <w:rPr>
          <w:color w:val="000000"/>
          <w:sz w:val="22"/>
          <w:szCs w:val="22"/>
        </w:rPr>
        <w:t>Atpērkamās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bookmarkEnd w:id="10"/>
      <w:bookmarkEnd w:id="11"/>
      <w:bookmarkEnd w:id="12"/>
      <w:proofErr w:type="spellEnd"/>
    </w:p>
    <w:p w:rsidR="00E20A21" w:rsidRPr="00937F40" w:rsidRDefault="00E20A21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Atpircējs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</w:t>
      </w:r>
      <w:proofErr w:type="spellEnd"/>
      <w:r w:rsidRPr="00937F40">
        <w:rPr>
          <w:color w:val="000000"/>
          <w:sz w:val="22"/>
          <w:szCs w:val="22"/>
        </w:rPr>
        <w:t xml:space="preserve"> visas </w:t>
      </w:r>
      <w:proofErr w:type="spellStart"/>
      <w:proofErr w:type="gramStart"/>
      <w:r w:rsidRPr="00937F40">
        <w:rPr>
          <w:color w:val="000000"/>
          <w:sz w:val="22"/>
          <w:szCs w:val="22"/>
        </w:rPr>
        <w:t>tās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kuras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nepieder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šī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galīgās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atpirkšanas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prospekta</w:t>
      </w:r>
      <w:proofErr w:type="spellEnd"/>
      <w:r w:rsidRPr="00937F40">
        <w:rPr>
          <w:color w:val="000000"/>
          <w:sz w:val="22"/>
          <w:szCs w:val="22"/>
        </w:rPr>
        <w:t xml:space="preserve"> 2. </w:t>
      </w:r>
      <w:proofErr w:type="spellStart"/>
      <w:proofErr w:type="gramStart"/>
      <w:r w:rsidRPr="00937F40">
        <w:rPr>
          <w:color w:val="000000"/>
          <w:sz w:val="22"/>
          <w:szCs w:val="22"/>
        </w:rPr>
        <w:t>sadaļā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“</w:t>
      </w:r>
      <w:proofErr w:type="spellStart"/>
      <w:r w:rsidRPr="00937F40">
        <w:rPr>
          <w:color w:val="000000"/>
          <w:sz w:val="22"/>
          <w:szCs w:val="22"/>
        </w:rPr>
        <w:t>Atpircējs</w:t>
      </w:r>
      <w:proofErr w:type="spellEnd"/>
      <w:r w:rsidRPr="00937F40">
        <w:rPr>
          <w:color w:val="000000"/>
          <w:sz w:val="22"/>
          <w:szCs w:val="22"/>
        </w:rPr>
        <w:t xml:space="preserve">” </w:t>
      </w:r>
      <w:proofErr w:type="spellStart"/>
      <w:r w:rsidRPr="00937F40">
        <w:rPr>
          <w:color w:val="000000"/>
          <w:sz w:val="22"/>
          <w:szCs w:val="22"/>
        </w:rPr>
        <w:t>norādītajiem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akcionāriem</w:t>
      </w:r>
      <w:proofErr w:type="spellEnd"/>
      <w:r w:rsidRPr="00937F40">
        <w:rPr>
          <w:color w:val="000000"/>
          <w:sz w:val="22"/>
          <w:szCs w:val="22"/>
        </w:rPr>
        <w:t>.</w:t>
      </w:r>
    </w:p>
    <w:p w:rsidR="00E20A21" w:rsidRDefault="00E20A21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Attiecīgās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iegrāmatotas</w:t>
      </w:r>
      <w:proofErr w:type="spellEnd"/>
      <w:r w:rsidRPr="00937F40">
        <w:rPr>
          <w:color w:val="000000"/>
          <w:sz w:val="22"/>
          <w:szCs w:val="22"/>
        </w:rPr>
        <w:t xml:space="preserve"> Nasdaq CSD SE (</w:t>
      </w:r>
      <w:proofErr w:type="spellStart"/>
      <w:r w:rsidRPr="00937F40">
        <w:rPr>
          <w:color w:val="000000"/>
          <w:sz w:val="22"/>
          <w:szCs w:val="22"/>
        </w:rPr>
        <w:t>turpmāk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r w:rsidRPr="00937F40">
        <w:rPr>
          <w:b/>
          <w:bCs/>
          <w:color w:val="000000"/>
          <w:sz w:val="22"/>
          <w:szCs w:val="22"/>
        </w:rPr>
        <w:t xml:space="preserve">Nasdaq CSD) </w:t>
      </w: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ISIN </w:t>
      </w:r>
      <w:proofErr w:type="spellStart"/>
      <w:r w:rsidRPr="00937F40">
        <w:rPr>
          <w:color w:val="000000"/>
          <w:sz w:val="22"/>
          <w:szCs w:val="22"/>
        </w:rPr>
        <w:t>kodu</w:t>
      </w:r>
      <w:proofErr w:type="spellEnd"/>
      <w:r w:rsidRPr="00937F40">
        <w:rPr>
          <w:color w:val="000000"/>
          <w:sz w:val="22"/>
          <w:szCs w:val="22"/>
        </w:rPr>
        <w:t xml:space="preserve"> LV000010</w:t>
      </w:r>
      <w:r w:rsidR="00A35D75" w:rsidRPr="00937F40">
        <w:rPr>
          <w:color w:val="000000"/>
          <w:sz w:val="22"/>
          <w:szCs w:val="22"/>
        </w:rPr>
        <w:t xml:space="preserve">0543 </w:t>
      </w:r>
      <w:r w:rsidRPr="00937F40">
        <w:rPr>
          <w:color w:val="000000"/>
          <w:sz w:val="22"/>
          <w:szCs w:val="22"/>
        </w:rPr>
        <w:t>(</w:t>
      </w:r>
      <w:proofErr w:type="spellStart"/>
      <w:r w:rsidRPr="00937F40">
        <w:rPr>
          <w:color w:val="000000"/>
          <w:sz w:val="22"/>
          <w:szCs w:val="22"/>
        </w:rPr>
        <w:t>turpmāk</w:t>
      </w:r>
      <w:proofErr w:type="spellEnd"/>
      <w:r w:rsidRPr="00937F40">
        <w:rPr>
          <w:color w:val="000000"/>
          <w:sz w:val="22"/>
          <w:szCs w:val="22"/>
        </w:rPr>
        <w:t xml:space="preserve"> - </w:t>
      </w:r>
      <w:proofErr w:type="spellStart"/>
      <w:r w:rsidRPr="00937F40">
        <w:rPr>
          <w:b/>
          <w:bCs/>
          <w:color w:val="000000"/>
          <w:sz w:val="22"/>
          <w:szCs w:val="22"/>
        </w:rPr>
        <w:t>Atpērkamās</w:t>
      </w:r>
      <w:proofErr w:type="spellEnd"/>
      <w:r w:rsidRPr="00937F4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7F40">
        <w:rPr>
          <w:b/>
          <w:bCs/>
          <w:color w:val="000000"/>
          <w:sz w:val="22"/>
          <w:szCs w:val="22"/>
        </w:rPr>
        <w:t>akcijas</w:t>
      </w:r>
      <w:proofErr w:type="spellEnd"/>
      <w:r w:rsidRPr="00937F40">
        <w:rPr>
          <w:b/>
          <w:bCs/>
          <w:color w:val="000000"/>
          <w:sz w:val="22"/>
          <w:szCs w:val="22"/>
        </w:rPr>
        <w:t xml:space="preserve">). </w:t>
      </w:r>
      <w:proofErr w:type="spellStart"/>
      <w:r w:rsidRPr="00937F40">
        <w:rPr>
          <w:color w:val="000000"/>
          <w:sz w:val="22"/>
          <w:szCs w:val="22"/>
        </w:rPr>
        <w:t>Vienas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nominālvērtība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ir</w:t>
      </w:r>
      <w:proofErr w:type="spellEnd"/>
      <w:r w:rsidRPr="00937F40">
        <w:rPr>
          <w:color w:val="000000"/>
          <w:sz w:val="22"/>
          <w:szCs w:val="22"/>
        </w:rPr>
        <w:t xml:space="preserve"> 1</w:t>
      </w:r>
      <w:proofErr w:type="gramStart"/>
      <w:r w:rsidRPr="00937F40">
        <w:rPr>
          <w:color w:val="000000"/>
          <w:sz w:val="22"/>
          <w:szCs w:val="22"/>
        </w:rPr>
        <w:t>,40</w:t>
      </w:r>
      <w:proofErr w:type="gramEnd"/>
      <w:r w:rsidRPr="00937F40">
        <w:rPr>
          <w:color w:val="000000"/>
          <w:sz w:val="22"/>
          <w:szCs w:val="22"/>
        </w:rPr>
        <w:t xml:space="preserve"> EUR (</w:t>
      </w:r>
      <w:proofErr w:type="spellStart"/>
      <w:r w:rsidRPr="00937F40">
        <w:rPr>
          <w:color w:val="000000"/>
          <w:sz w:val="22"/>
          <w:szCs w:val="22"/>
        </w:rPr>
        <w:t>viens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eiro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četrdesmit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centi</w:t>
      </w:r>
      <w:proofErr w:type="spellEnd"/>
      <w:r w:rsidRPr="00937F40">
        <w:rPr>
          <w:color w:val="000000"/>
          <w:sz w:val="22"/>
          <w:szCs w:val="22"/>
        </w:rPr>
        <w:t>).</w:t>
      </w:r>
    </w:p>
    <w:p w:rsidR="00A9778E" w:rsidRPr="00937F40" w:rsidRDefault="00A9778E" w:rsidP="00D13DE9">
      <w:pPr>
        <w:pStyle w:val="BodyText"/>
        <w:spacing w:after="0"/>
        <w:contextualSpacing/>
        <w:jc w:val="both"/>
        <w:rPr>
          <w:sz w:val="22"/>
          <w:szCs w:val="22"/>
        </w:rPr>
      </w:pPr>
    </w:p>
    <w:p w:rsidR="00F107A6" w:rsidRPr="00937F40" w:rsidRDefault="00F107A6" w:rsidP="00D13DE9">
      <w:pPr>
        <w:pStyle w:val="Heading10"/>
        <w:keepNext/>
        <w:keepLines/>
        <w:numPr>
          <w:ilvl w:val="0"/>
          <w:numId w:val="1"/>
        </w:numPr>
        <w:tabs>
          <w:tab w:val="left" w:pos="326"/>
        </w:tabs>
        <w:spacing w:after="0"/>
        <w:contextualSpacing/>
        <w:jc w:val="both"/>
        <w:rPr>
          <w:sz w:val="22"/>
          <w:szCs w:val="22"/>
        </w:rPr>
      </w:pPr>
      <w:bookmarkStart w:id="13" w:name="bookmark42"/>
      <w:bookmarkStart w:id="14" w:name="bookmark43"/>
      <w:bookmarkStart w:id="15" w:name="bookmark45"/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vērtības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noteikšanas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metode</w:t>
      </w:r>
      <w:proofErr w:type="spellEnd"/>
      <w:r w:rsidRPr="00937F40">
        <w:rPr>
          <w:color w:val="000000"/>
          <w:sz w:val="22"/>
          <w:szCs w:val="22"/>
        </w:rPr>
        <w:t xml:space="preserve"> un </w:t>
      </w:r>
      <w:proofErr w:type="spellStart"/>
      <w:r w:rsidRPr="00937F40">
        <w:rPr>
          <w:color w:val="000000"/>
          <w:sz w:val="22"/>
          <w:szCs w:val="22"/>
        </w:rPr>
        <w:t>vērtība</w:t>
      </w:r>
      <w:bookmarkEnd w:id="13"/>
      <w:bookmarkEnd w:id="14"/>
      <w:bookmarkEnd w:id="15"/>
      <w:proofErr w:type="spellEnd"/>
    </w:p>
    <w:p w:rsidR="000D2457" w:rsidRPr="00937F40" w:rsidRDefault="00993FAE" w:rsidP="00D13DE9">
      <w:pPr>
        <w:pStyle w:val="BodyText"/>
        <w:spacing w:after="0"/>
        <w:contextualSpacing/>
        <w:jc w:val="both"/>
        <w:rPr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vērtība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noteikta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saskaņā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="000D2457" w:rsidRPr="00937F40">
        <w:rPr>
          <w:sz w:val="22"/>
          <w:szCs w:val="22"/>
        </w:rPr>
        <w:t>Finanšu</w:t>
      </w:r>
      <w:proofErr w:type="spellEnd"/>
      <w:r w:rsidR="000D2457" w:rsidRPr="00937F40">
        <w:rPr>
          <w:sz w:val="22"/>
          <w:szCs w:val="22"/>
        </w:rPr>
        <w:t xml:space="preserve"> </w:t>
      </w:r>
      <w:proofErr w:type="spellStart"/>
      <w:r w:rsidR="000D2457" w:rsidRPr="00937F40">
        <w:rPr>
          <w:sz w:val="22"/>
          <w:szCs w:val="22"/>
        </w:rPr>
        <w:t>instrument</w:t>
      </w:r>
      <w:r w:rsidRPr="00937F40">
        <w:rPr>
          <w:sz w:val="22"/>
          <w:szCs w:val="22"/>
        </w:rPr>
        <w:t>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tirgus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likuma</w:t>
      </w:r>
      <w:proofErr w:type="spellEnd"/>
      <w:r w:rsidRPr="00937F40">
        <w:rPr>
          <w:sz w:val="22"/>
          <w:szCs w:val="22"/>
        </w:rPr>
        <w:t xml:space="preserve"> 74. </w:t>
      </w:r>
      <w:proofErr w:type="spellStart"/>
      <w:proofErr w:type="gramStart"/>
      <w:r w:rsidRPr="00937F40">
        <w:rPr>
          <w:sz w:val="22"/>
          <w:szCs w:val="22"/>
        </w:rPr>
        <w:t>panta</w:t>
      </w:r>
      <w:proofErr w:type="spellEnd"/>
      <w:proofErr w:type="gram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pirmās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daļas</w:t>
      </w:r>
      <w:proofErr w:type="spellEnd"/>
      <w:r w:rsidRPr="00937F40">
        <w:rPr>
          <w:sz w:val="22"/>
          <w:szCs w:val="22"/>
        </w:rPr>
        <w:t xml:space="preserve"> 3. </w:t>
      </w:r>
      <w:proofErr w:type="spellStart"/>
      <w:proofErr w:type="gramStart"/>
      <w:r w:rsidRPr="00937F40">
        <w:rPr>
          <w:sz w:val="22"/>
          <w:szCs w:val="22"/>
        </w:rPr>
        <w:t>punktu</w:t>
      </w:r>
      <w:proofErr w:type="spellEnd"/>
      <w:proofErr w:type="gramEnd"/>
      <w:r w:rsidRPr="00937F40">
        <w:rPr>
          <w:sz w:val="22"/>
          <w:szCs w:val="22"/>
        </w:rPr>
        <w:t xml:space="preserve">. </w:t>
      </w:r>
    </w:p>
    <w:p w:rsidR="000D2457" w:rsidRPr="00937F40" w:rsidRDefault="000D2457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Līdz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to </w:t>
      </w:r>
      <w:proofErr w:type="spellStart"/>
      <w:r w:rsidRPr="00937F40">
        <w:rPr>
          <w:color w:val="000000"/>
          <w:sz w:val="22"/>
          <w:szCs w:val="22"/>
        </w:rPr>
        <w:t>vienas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cena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ir</w:t>
      </w:r>
      <w:proofErr w:type="spellEnd"/>
      <w:r w:rsidRPr="00937F40">
        <w:rPr>
          <w:color w:val="000000"/>
          <w:sz w:val="22"/>
          <w:szCs w:val="22"/>
        </w:rPr>
        <w:t xml:space="preserve"> 0.27 EUR </w:t>
      </w:r>
      <w:r w:rsidRPr="00937F40">
        <w:rPr>
          <w:sz w:val="22"/>
          <w:szCs w:val="22"/>
        </w:rPr>
        <w:t>(</w:t>
      </w:r>
      <w:proofErr w:type="spellStart"/>
      <w:r w:rsidRPr="00937F40">
        <w:rPr>
          <w:sz w:val="22"/>
          <w:szCs w:val="22"/>
        </w:rPr>
        <w:t>divdesmit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septiņi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centi</w:t>
      </w:r>
      <w:proofErr w:type="spellEnd"/>
      <w:r w:rsidRPr="00937F40">
        <w:rPr>
          <w:sz w:val="22"/>
          <w:szCs w:val="22"/>
        </w:rPr>
        <w:t>)</w:t>
      </w:r>
      <w:r w:rsidRPr="00937F40">
        <w:rPr>
          <w:color w:val="000000"/>
          <w:sz w:val="22"/>
          <w:szCs w:val="22"/>
        </w:rPr>
        <w:t>.</w:t>
      </w:r>
    </w:p>
    <w:p w:rsidR="00993FAE" w:rsidRPr="00937F40" w:rsidRDefault="00993FAE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</w:p>
    <w:p w:rsidR="003E181D" w:rsidRPr="00937F40" w:rsidRDefault="003E181D" w:rsidP="00D13DE9">
      <w:pPr>
        <w:pStyle w:val="Heading10"/>
        <w:keepNext/>
        <w:keepLines/>
        <w:numPr>
          <w:ilvl w:val="0"/>
          <w:numId w:val="1"/>
        </w:numPr>
        <w:tabs>
          <w:tab w:val="left" w:pos="326"/>
        </w:tabs>
        <w:spacing w:after="0"/>
        <w:contextualSpacing/>
        <w:jc w:val="both"/>
        <w:rPr>
          <w:sz w:val="22"/>
          <w:szCs w:val="22"/>
        </w:rPr>
      </w:pPr>
      <w:bookmarkStart w:id="16" w:name="bookmark46"/>
      <w:bookmarkStart w:id="17" w:name="bookmark47"/>
      <w:bookmarkStart w:id="18" w:name="bookmark49"/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atsavināšana</w:t>
      </w:r>
      <w:proofErr w:type="spellEnd"/>
      <w:r w:rsidRPr="00937F40">
        <w:rPr>
          <w:color w:val="000000"/>
          <w:sz w:val="22"/>
          <w:szCs w:val="22"/>
        </w:rPr>
        <w:t xml:space="preserve"> par </w:t>
      </w:r>
      <w:proofErr w:type="spellStart"/>
      <w:r w:rsidRPr="00937F40">
        <w:rPr>
          <w:color w:val="000000"/>
          <w:sz w:val="22"/>
          <w:szCs w:val="22"/>
        </w:rPr>
        <w:t>labu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Atpircējam</w:t>
      </w:r>
      <w:bookmarkEnd w:id="16"/>
      <w:bookmarkEnd w:id="17"/>
      <w:bookmarkEnd w:id="18"/>
      <w:proofErr w:type="spellEnd"/>
    </w:p>
    <w:p w:rsidR="003E181D" w:rsidRPr="00937F40" w:rsidRDefault="003E181D" w:rsidP="00D13DE9">
      <w:pPr>
        <w:pStyle w:val="BodyText"/>
        <w:spacing w:after="0"/>
        <w:contextualSpacing/>
        <w:jc w:val="both"/>
        <w:rPr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Atbilstoši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Finanšu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instrumentu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tirgus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likuma</w:t>
      </w:r>
      <w:proofErr w:type="spellEnd"/>
      <w:r w:rsidRPr="00937F40">
        <w:rPr>
          <w:color w:val="000000"/>
          <w:sz w:val="22"/>
          <w:szCs w:val="22"/>
        </w:rPr>
        <w:t xml:space="preserve"> 81. </w:t>
      </w:r>
      <w:proofErr w:type="spellStart"/>
      <w:proofErr w:type="gramStart"/>
      <w:r w:rsidRPr="00937F40">
        <w:rPr>
          <w:color w:val="000000"/>
          <w:sz w:val="22"/>
          <w:szCs w:val="22"/>
        </w:rPr>
        <w:t>panta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septītās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daļas</w:t>
      </w:r>
      <w:proofErr w:type="spellEnd"/>
      <w:r w:rsidRPr="00937F40">
        <w:rPr>
          <w:color w:val="000000"/>
          <w:sz w:val="22"/>
          <w:szCs w:val="22"/>
        </w:rPr>
        <w:t xml:space="preserve"> un 83. </w:t>
      </w:r>
      <w:proofErr w:type="spellStart"/>
      <w:proofErr w:type="gramStart"/>
      <w:r w:rsidRPr="00937F40">
        <w:rPr>
          <w:color w:val="000000"/>
          <w:sz w:val="22"/>
          <w:szCs w:val="22"/>
        </w:rPr>
        <w:t>panta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noteikumiem</w:t>
      </w:r>
      <w:proofErr w:type="spellEnd"/>
      <w:r w:rsidRPr="00937F40">
        <w:rPr>
          <w:color w:val="000000"/>
          <w:sz w:val="22"/>
          <w:szCs w:val="22"/>
        </w:rPr>
        <w:t xml:space="preserve"> un </w:t>
      </w:r>
      <w:proofErr w:type="spellStart"/>
      <w:r w:rsidRPr="00937F40">
        <w:rPr>
          <w:color w:val="000000"/>
          <w:sz w:val="22"/>
          <w:szCs w:val="22"/>
        </w:rPr>
        <w:t>nosacījumiem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atsavināšana</w:t>
      </w:r>
      <w:proofErr w:type="spellEnd"/>
      <w:r w:rsidRPr="00937F40">
        <w:rPr>
          <w:color w:val="000000"/>
          <w:sz w:val="22"/>
          <w:szCs w:val="22"/>
        </w:rPr>
        <w:t xml:space="preserve"> par </w:t>
      </w:r>
      <w:proofErr w:type="spellStart"/>
      <w:r w:rsidRPr="00937F40">
        <w:rPr>
          <w:color w:val="000000"/>
          <w:sz w:val="22"/>
          <w:szCs w:val="22"/>
        </w:rPr>
        <w:t>labu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Atpircējam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tiek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veikta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sekojoši</w:t>
      </w:r>
      <w:proofErr w:type="spellEnd"/>
      <w:r w:rsidRPr="00937F40">
        <w:rPr>
          <w:color w:val="000000"/>
          <w:sz w:val="22"/>
          <w:szCs w:val="22"/>
        </w:rPr>
        <w:t>:</w:t>
      </w:r>
    </w:p>
    <w:p w:rsidR="003E181D" w:rsidRPr="00937F40" w:rsidRDefault="003E181D" w:rsidP="00D13DE9">
      <w:pPr>
        <w:pStyle w:val="BodyText"/>
        <w:numPr>
          <w:ilvl w:val="0"/>
          <w:numId w:val="7"/>
        </w:numPr>
        <w:tabs>
          <w:tab w:val="left" w:pos="742"/>
        </w:tabs>
        <w:spacing w:after="0"/>
        <w:ind w:left="720" w:hanging="340"/>
        <w:contextualSpacing/>
        <w:jc w:val="both"/>
        <w:rPr>
          <w:sz w:val="22"/>
          <w:szCs w:val="22"/>
        </w:rPr>
      </w:pPr>
      <w:bookmarkStart w:id="19" w:name="bookmark50"/>
      <w:bookmarkEnd w:id="19"/>
      <w:proofErr w:type="spellStart"/>
      <w:proofErr w:type="gramStart"/>
      <w:r w:rsidRPr="00937F40">
        <w:rPr>
          <w:color w:val="000000"/>
          <w:sz w:val="22"/>
          <w:szCs w:val="22"/>
        </w:rPr>
        <w:t>ieraksta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datums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piektā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darba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diena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pēc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Finanšu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instrumentu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tirgus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likuma</w:t>
      </w:r>
      <w:proofErr w:type="spellEnd"/>
      <w:r w:rsidRPr="00937F40">
        <w:rPr>
          <w:color w:val="000000"/>
          <w:sz w:val="22"/>
          <w:szCs w:val="22"/>
        </w:rPr>
        <w:t xml:space="preserve"> 82. </w:t>
      </w:r>
      <w:proofErr w:type="spellStart"/>
      <w:r w:rsidRPr="00937F40">
        <w:rPr>
          <w:color w:val="000000"/>
          <w:sz w:val="22"/>
          <w:szCs w:val="22"/>
        </w:rPr>
        <w:t>panta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septītajā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daļā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noteiktās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informācijas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publicēšanas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oficiālajā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izdevumā</w:t>
      </w:r>
      <w:proofErr w:type="spellEnd"/>
      <w:r w:rsidRPr="00937F40">
        <w:rPr>
          <w:color w:val="000000"/>
          <w:sz w:val="22"/>
          <w:szCs w:val="22"/>
        </w:rPr>
        <w:t xml:space="preserve"> "Latvijas </w:t>
      </w:r>
      <w:proofErr w:type="spellStart"/>
      <w:r w:rsidRPr="00937F40">
        <w:rPr>
          <w:color w:val="000000"/>
          <w:sz w:val="22"/>
          <w:szCs w:val="22"/>
        </w:rPr>
        <w:t>Vēstnesis</w:t>
      </w:r>
      <w:proofErr w:type="spellEnd"/>
      <w:r w:rsidRPr="00937F40">
        <w:rPr>
          <w:color w:val="000000"/>
          <w:sz w:val="22"/>
          <w:szCs w:val="22"/>
        </w:rPr>
        <w:t>”;</w:t>
      </w:r>
    </w:p>
    <w:p w:rsidR="003E181D" w:rsidRPr="00937F40" w:rsidRDefault="003E181D" w:rsidP="00D13DE9">
      <w:pPr>
        <w:pStyle w:val="BodyText"/>
        <w:numPr>
          <w:ilvl w:val="0"/>
          <w:numId w:val="7"/>
        </w:numPr>
        <w:tabs>
          <w:tab w:val="left" w:pos="742"/>
        </w:tabs>
        <w:spacing w:after="0"/>
        <w:ind w:left="720" w:hanging="340"/>
        <w:contextualSpacing/>
        <w:jc w:val="both"/>
        <w:rPr>
          <w:sz w:val="22"/>
          <w:szCs w:val="22"/>
        </w:rPr>
      </w:pPr>
      <w:bookmarkStart w:id="20" w:name="bookmark51"/>
      <w:bookmarkEnd w:id="20"/>
      <w:proofErr w:type="spellStart"/>
      <w:r w:rsidRPr="00937F40">
        <w:rPr>
          <w:color w:val="000000"/>
          <w:sz w:val="22"/>
          <w:szCs w:val="22"/>
        </w:rPr>
        <w:t>ieraksta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datumā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tiek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bloķētas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akcionāru</w:t>
      </w:r>
      <w:proofErr w:type="spellEnd"/>
      <w:r w:rsidRPr="00937F40">
        <w:rPr>
          <w:color w:val="000000"/>
          <w:sz w:val="22"/>
          <w:szCs w:val="22"/>
        </w:rPr>
        <w:t xml:space="preserve"> -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turētāju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kontos</w:t>
      </w:r>
      <w:proofErr w:type="spellEnd"/>
      <w:r w:rsidRPr="00937F40">
        <w:rPr>
          <w:color w:val="000000"/>
          <w:sz w:val="22"/>
          <w:szCs w:val="22"/>
        </w:rPr>
        <w:t xml:space="preserve">, un </w:t>
      </w:r>
      <w:proofErr w:type="spellStart"/>
      <w:r w:rsidRPr="00937F40">
        <w:rPr>
          <w:color w:val="000000"/>
          <w:sz w:val="22"/>
          <w:szCs w:val="22"/>
        </w:rPr>
        <w:t>šie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akcionāri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zaudē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tiesības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rīkoties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piederošajām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akcijām</w:t>
      </w:r>
      <w:proofErr w:type="spellEnd"/>
      <w:r w:rsidRPr="00937F40">
        <w:rPr>
          <w:color w:val="000000"/>
          <w:sz w:val="22"/>
          <w:szCs w:val="22"/>
        </w:rPr>
        <w:t>;</w:t>
      </w:r>
    </w:p>
    <w:p w:rsidR="003E181D" w:rsidRPr="00937F40" w:rsidRDefault="003E181D" w:rsidP="00D13DE9">
      <w:pPr>
        <w:pStyle w:val="BodyText"/>
        <w:numPr>
          <w:ilvl w:val="0"/>
          <w:numId w:val="7"/>
        </w:numPr>
        <w:tabs>
          <w:tab w:val="left" w:pos="742"/>
        </w:tabs>
        <w:spacing w:after="0"/>
        <w:ind w:left="720" w:hanging="340"/>
        <w:contextualSpacing/>
        <w:jc w:val="both"/>
        <w:rPr>
          <w:sz w:val="22"/>
          <w:szCs w:val="22"/>
        </w:rPr>
      </w:pPr>
      <w:bookmarkStart w:id="21" w:name="bookmark52"/>
      <w:bookmarkEnd w:id="21"/>
      <w:proofErr w:type="spellStart"/>
      <w:proofErr w:type="gramStart"/>
      <w:r w:rsidRPr="00937F40">
        <w:rPr>
          <w:color w:val="000000"/>
          <w:sz w:val="22"/>
          <w:szCs w:val="22"/>
        </w:rPr>
        <w:t>nākamajā</w:t>
      </w:r>
      <w:proofErr w:type="spellEnd"/>
      <w:proofErr w:type="gram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darbadienā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pēc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ieraksta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datuma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Atpirkšanas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īstenotājs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ieskaita</w:t>
      </w:r>
      <w:proofErr w:type="spellEnd"/>
      <w:r w:rsidRPr="00937F40">
        <w:rPr>
          <w:color w:val="000000"/>
          <w:sz w:val="22"/>
          <w:szCs w:val="22"/>
        </w:rPr>
        <w:t xml:space="preserve"> Nasdaq CSD </w:t>
      </w:r>
      <w:proofErr w:type="spellStart"/>
      <w:r w:rsidRPr="00937F40">
        <w:rPr>
          <w:color w:val="000000"/>
          <w:sz w:val="22"/>
          <w:szCs w:val="22"/>
        </w:rPr>
        <w:t>norādītajā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summu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kas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atbilst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vērtībai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saskaņā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šajā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galīgās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atpirkšanas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prospekta</w:t>
      </w:r>
      <w:proofErr w:type="spellEnd"/>
      <w:r w:rsidRPr="00937F40">
        <w:rPr>
          <w:color w:val="000000"/>
          <w:sz w:val="22"/>
          <w:szCs w:val="22"/>
        </w:rPr>
        <w:t xml:space="preserve"> 5. </w:t>
      </w:r>
      <w:proofErr w:type="spellStart"/>
      <w:r w:rsidRPr="00937F40">
        <w:rPr>
          <w:color w:val="000000"/>
          <w:sz w:val="22"/>
          <w:szCs w:val="22"/>
        </w:rPr>
        <w:t>sadaļā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noteikto</w:t>
      </w:r>
      <w:proofErr w:type="spellEnd"/>
      <w:r w:rsidRPr="00937F40">
        <w:rPr>
          <w:color w:val="000000"/>
          <w:sz w:val="22"/>
          <w:szCs w:val="22"/>
        </w:rPr>
        <w:t>;</w:t>
      </w:r>
    </w:p>
    <w:p w:rsidR="005F7357" w:rsidRPr="00937F40" w:rsidRDefault="006C1890" w:rsidP="00D13DE9">
      <w:pPr>
        <w:pStyle w:val="BodyText"/>
        <w:tabs>
          <w:tab w:val="left" w:pos="367"/>
        </w:tabs>
        <w:spacing w:after="0"/>
        <w:ind w:left="340"/>
        <w:contextualSpacing/>
        <w:jc w:val="both"/>
        <w:rPr>
          <w:sz w:val="22"/>
          <w:szCs w:val="22"/>
        </w:rPr>
      </w:pPr>
      <w:r w:rsidRPr="00937F40">
        <w:rPr>
          <w:color w:val="000000"/>
          <w:sz w:val="22"/>
          <w:szCs w:val="22"/>
        </w:rPr>
        <w:t>4)</w:t>
      </w:r>
      <w:r w:rsidR="005F7357" w:rsidRPr="00937F40">
        <w:rPr>
          <w:color w:val="000000"/>
          <w:sz w:val="22"/>
          <w:szCs w:val="22"/>
        </w:rPr>
        <w:t xml:space="preserve">   </w:t>
      </w:r>
      <w:proofErr w:type="spellStart"/>
      <w:proofErr w:type="gramStart"/>
      <w:r w:rsidR="003D441B" w:rsidRPr="00937F40">
        <w:rPr>
          <w:color w:val="000000"/>
          <w:sz w:val="22"/>
          <w:szCs w:val="22"/>
        </w:rPr>
        <w:t>pēc</w:t>
      </w:r>
      <w:proofErr w:type="spellEnd"/>
      <w:proofErr w:type="gramEnd"/>
      <w:r w:rsidR="003D441B" w:rsidRPr="00937F40">
        <w:rPr>
          <w:color w:val="000000"/>
          <w:sz w:val="22"/>
          <w:szCs w:val="22"/>
        </w:rPr>
        <w:t xml:space="preserve"> </w:t>
      </w:r>
      <w:proofErr w:type="spellStart"/>
      <w:r w:rsidR="003D441B" w:rsidRPr="00937F40">
        <w:rPr>
          <w:color w:val="000000"/>
          <w:sz w:val="22"/>
          <w:szCs w:val="22"/>
        </w:rPr>
        <w:t>iepriekšējā</w:t>
      </w:r>
      <w:proofErr w:type="spellEnd"/>
      <w:r w:rsidR="003D441B" w:rsidRPr="00937F40">
        <w:rPr>
          <w:color w:val="000000"/>
          <w:sz w:val="22"/>
          <w:szCs w:val="22"/>
        </w:rPr>
        <w:t xml:space="preserve"> </w:t>
      </w:r>
      <w:proofErr w:type="spellStart"/>
      <w:r w:rsidR="003D441B" w:rsidRPr="00937F40">
        <w:rPr>
          <w:color w:val="000000"/>
          <w:sz w:val="22"/>
          <w:szCs w:val="22"/>
        </w:rPr>
        <w:t>punktā</w:t>
      </w:r>
      <w:proofErr w:type="spellEnd"/>
      <w:r w:rsidR="003D441B" w:rsidRPr="00937F40">
        <w:rPr>
          <w:color w:val="000000"/>
          <w:sz w:val="22"/>
          <w:szCs w:val="22"/>
        </w:rPr>
        <w:t xml:space="preserve"> </w:t>
      </w:r>
      <w:proofErr w:type="spellStart"/>
      <w:r w:rsidR="003D441B" w:rsidRPr="00937F40">
        <w:rPr>
          <w:color w:val="000000"/>
          <w:sz w:val="22"/>
          <w:szCs w:val="22"/>
        </w:rPr>
        <w:t>minētās</w:t>
      </w:r>
      <w:proofErr w:type="spellEnd"/>
      <w:r w:rsidR="003D441B" w:rsidRPr="00937F40">
        <w:rPr>
          <w:color w:val="000000"/>
          <w:sz w:val="22"/>
          <w:szCs w:val="22"/>
        </w:rPr>
        <w:t xml:space="preserve"> </w:t>
      </w:r>
      <w:proofErr w:type="spellStart"/>
      <w:r w:rsidR="003D441B" w:rsidRPr="00937F40">
        <w:rPr>
          <w:color w:val="000000"/>
          <w:sz w:val="22"/>
          <w:szCs w:val="22"/>
        </w:rPr>
        <w:t>naudas</w:t>
      </w:r>
      <w:proofErr w:type="spellEnd"/>
      <w:r w:rsidR="003D441B" w:rsidRPr="00937F40">
        <w:rPr>
          <w:color w:val="000000"/>
          <w:sz w:val="22"/>
          <w:szCs w:val="22"/>
        </w:rPr>
        <w:t xml:space="preserve"> </w:t>
      </w:r>
      <w:proofErr w:type="spellStart"/>
      <w:r w:rsidR="003D441B" w:rsidRPr="00937F40">
        <w:rPr>
          <w:color w:val="000000"/>
          <w:sz w:val="22"/>
          <w:szCs w:val="22"/>
        </w:rPr>
        <w:t>summas</w:t>
      </w:r>
      <w:proofErr w:type="spellEnd"/>
      <w:r w:rsidR="003D441B" w:rsidRPr="00937F40">
        <w:rPr>
          <w:color w:val="000000"/>
          <w:sz w:val="22"/>
          <w:szCs w:val="22"/>
        </w:rPr>
        <w:t xml:space="preserve"> </w:t>
      </w:r>
      <w:proofErr w:type="spellStart"/>
      <w:r w:rsidR="003D441B" w:rsidRPr="00937F40">
        <w:rPr>
          <w:color w:val="000000"/>
          <w:sz w:val="22"/>
          <w:szCs w:val="22"/>
        </w:rPr>
        <w:t>saņemšanas</w:t>
      </w:r>
      <w:proofErr w:type="spellEnd"/>
      <w:r w:rsidR="003D441B" w:rsidRPr="00937F40">
        <w:rPr>
          <w:color w:val="000000"/>
          <w:sz w:val="22"/>
          <w:szCs w:val="22"/>
        </w:rPr>
        <w:t xml:space="preserve"> no </w:t>
      </w:r>
      <w:proofErr w:type="spellStart"/>
      <w:r w:rsidR="003D441B" w:rsidRPr="00937F40">
        <w:rPr>
          <w:color w:val="000000"/>
          <w:sz w:val="22"/>
          <w:szCs w:val="22"/>
        </w:rPr>
        <w:t>Atpircēja</w:t>
      </w:r>
      <w:proofErr w:type="spellEnd"/>
      <w:r w:rsidR="003D441B" w:rsidRPr="00937F40">
        <w:rPr>
          <w:color w:val="000000"/>
          <w:sz w:val="22"/>
          <w:szCs w:val="22"/>
        </w:rPr>
        <w:t xml:space="preserve">, </w:t>
      </w:r>
    </w:p>
    <w:p w:rsidR="003D441B" w:rsidRPr="00937F40" w:rsidRDefault="005F7357" w:rsidP="00D13DE9">
      <w:pPr>
        <w:pStyle w:val="BodyText"/>
        <w:tabs>
          <w:tab w:val="left" w:pos="367"/>
        </w:tabs>
        <w:spacing w:after="0"/>
        <w:ind w:left="340"/>
        <w:contextualSpacing/>
        <w:jc w:val="both"/>
        <w:rPr>
          <w:sz w:val="22"/>
          <w:szCs w:val="22"/>
        </w:rPr>
      </w:pPr>
      <w:r w:rsidRPr="00937F40">
        <w:rPr>
          <w:color w:val="000000"/>
          <w:sz w:val="22"/>
          <w:szCs w:val="22"/>
        </w:rPr>
        <w:t xml:space="preserve">      </w:t>
      </w:r>
      <w:proofErr w:type="gramStart"/>
      <w:r w:rsidR="003D441B" w:rsidRPr="00937F40">
        <w:rPr>
          <w:color w:val="000000"/>
          <w:sz w:val="22"/>
          <w:szCs w:val="22"/>
        </w:rPr>
        <w:t>Nasdaq</w:t>
      </w:r>
      <w:proofErr w:type="gramEnd"/>
      <w:r w:rsidR="003D441B" w:rsidRPr="00937F40">
        <w:rPr>
          <w:color w:val="000000"/>
          <w:sz w:val="22"/>
          <w:szCs w:val="22"/>
        </w:rPr>
        <w:t xml:space="preserve"> CSD:</w:t>
      </w:r>
    </w:p>
    <w:p w:rsidR="003D441B" w:rsidRPr="00937F40" w:rsidRDefault="003D441B" w:rsidP="00D13DE9">
      <w:pPr>
        <w:pStyle w:val="BodyText"/>
        <w:spacing w:after="0"/>
        <w:ind w:left="1060"/>
        <w:contextualSpacing/>
        <w:jc w:val="both"/>
        <w:rPr>
          <w:sz w:val="22"/>
          <w:szCs w:val="22"/>
        </w:rPr>
      </w:pPr>
      <w:proofErr w:type="gramStart"/>
      <w:r w:rsidRPr="00937F40">
        <w:rPr>
          <w:color w:val="000000"/>
          <w:sz w:val="22"/>
          <w:szCs w:val="22"/>
        </w:rPr>
        <w:t>a</w:t>
      </w:r>
      <w:proofErr w:type="gramEnd"/>
      <w:r w:rsidRPr="00937F40">
        <w:rPr>
          <w:color w:val="000000"/>
          <w:sz w:val="22"/>
          <w:szCs w:val="22"/>
        </w:rPr>
        <w:t xml:space="preserve">. </w:t>
      </w:r>
      <w:proofErr w:type="spellStart"/>
      <w:r w:rsidRPr="00937F40">
        <w:rPr>
          <w:color w:val="000000"/>
          <w:sz w:val="22"/>
          <w:szCs w:val="22"/>
        </w:rPr>
        <w:t>pārskaita</w:t>
      </w:r>
      <w:proofErr w:type="spellEnd"/>
      <w:r w:rsidRPr="00937F40">
        <w:rPr>
          <w:color w:val="000000"/>
          <w:sz w:val="22"/>
          <w:szCs w:val="22"/>
        </w:rPr>
        <w:t xml:space="preserve"> visas Nasdaq CSD </w:t>
      </w:r>
      <w:proofErr w:type="spellStart"/>
      <w:r w:rsidRPr="00937F40">
        <w:rPr>
          <w:color w:val="000000"/>
          <w:sz w:val="22"/>
          <w:szCs w:val="22"/>
        </w:rPr>
        <w:t>sākotnējā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reģistrā</w:t>
      </w:r>
      <w:proofErr w:type="spellEnd"/>
      <w:r w:rsidRPr="00937F40">
        <w:rPr>
          <w:color w:val="000000"/>
          <w:sz w:val="22"/>
          <w:szCs w:val="22"/>
        </w:rPr>
        <w:t xml:space="preserve"> un Nasdaq CSD </w:t>
      </w:r>
      <w:proofErr w:type="spellStart"/>
      <w:r w:rsidRPr="00937F40">
        <w:rPr>
          <w:color w:val="000000"/>
          <w:sz w:val="22"/>
          <w:szCs w:val="22"/>
        </w:rPr>
        <w:t>dalībnieku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kontos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kas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atvērti</w:t>
      </w:r>
      <w:proofErr w:type="spellEnd"/>
      <w:r w:rsidRPr="00937F40">
        <w:rPr>
          <w:color w:val="000000"/>
          <w:sz w:val="22"/>
          <w:szCs w:val="22"/>
        </w:rPr>
        <w:t xml:space="preserve"> Nasdaq CSD, </w:t>
      </w:r>
      <w:proofErr w:type="spellStart"/>
      <w:r w:rsidRPr="00937F40">
        <w:rPr>
          <w:color w:val="000000"/>
          <w:sz w:val="22"/>
          <w:szCs w:val="22"/>
        </w:rPr>
        <w:t>iegrāmatotās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uz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Atpircēja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kontu</w:t>
      </w:r>
      <w:proofErr w:type="spellEnd"/>
      <w:r w:rsidRPr="00937F40">
        <w:rPr>
          <w:color w:val="000000"/>
          <w:sz w:val="22"/>
          <w:szCs w:val="22"/>
        </w:rPr>
        <w:t>; un</w:t>
      </w:r>
    </w:p>
    <w:p w:rsidR="003D441B" w:rsidRPr="00937F40" w:rsidRDefault="003D441B" w:rsidP="00D13DE9">
      <w:pPr>
        <w:pStyle w:val="BodyText"/>
        <w:spacing w:after="0"/>
        <w:ind w:left="1060"/>
        <w:contextualSpacing/>
        <w:jc w:val="both"/>
        <w:rPr>
          <w:color w:val="000000"/>
          <w:sz w:val="22"/>
          <w:szCs w:val="22"/>
        </w:rPr>
      </w:pPr>
      <w:proofErr w:type="gramStart"/>
      <w:r w:rsidRPr="00937F40">
        <w:rPr>
          <w:color w:val="000000"/>
          <w:sz w:val="22"/>
          <w:szCs w:val="22"/>
        </w:rPr>
        <w:t>b</w:t>
      </w:r>
      <w:proofErr w:type="gramEnd"/>
      <w:r w:rsidRPr="00937F40">
        <w:rPr>
          <w:color w:val="000000"/>
          <w:sz w:val="22"/>
          <w:szCs w:val="22"/>
        </w:rPr>
        <w:t xml:space="preserve">. </w:t>
      </w:r>
      <w:proofErr w:type="spellStart"/>
      <w:r w:rsidRPr="00937F40">
        <w:rPr>
          <w:color w:val="000000"/>
          <w:sz w:val="22"/>
          <w:szCs w:val="22"/>
        </w:rPr>
        <w:t>vienlaikus</w:t>
      </w:r>
      <w:proofErr w:type="spellEnd"/>
      <w:r w:rsidRPr="00937F40">
        <w:rPr>
          <w:color w:val="000000"/>
          <w:sz w:val="22"/>
          <w:szCs w:val="22"/>
        </w:rPr>
        <w:tab/>
      </w:r>
      <w:proofErr w:type="spellStart"/>
      <w:r w:rsidRPr="00937F40">
        <w:rPr>
          <w:color w:val="000000"/>
          <w:sz w:val="22"/>
          <w:szCs w:val="22"/>
        </w:rPr>
        <w:t>veic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="005F7357"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pārvedumus</w:t>
      </w:r>
      <w:proofErr w:type="spellEnd"/>
      <w:r w:rsidRPr="00937F40">
        <w:rPr>
          <w:color w:val="000000"/>
          <w:sz w:val="22"/>
          <w:szCs w:val="22"/>
        </w:rPr>
        <w:tab/>
      </w:r>
      <w:proofErr w:type="spellStart"/>
      <w:r w:rsidRPr="00937F40">
        <w:rPr>
          <w:color w:val="000000"/>
          <w:sz w:val="22"/>
          <w:szCs w:val="22"/>
        </w:rPr>
        <w:t>uz</w:t>
      </w:r>
      <w:proofErr w:type="spellEnd"/>
      <w:r w:rsidRPr="00937F40">
        <w:rPr>
          <w:color w:val="000000"/>
          <w:sz w:val="22"/>
          <w:szCs w:val="22"/>
        </w:rPr>
        <w:tab/>
      </w:r>
      <w:proofErr w:type="spellStart"/>
      <w:r w:rsidRPr="00937F40">
        <w:rPr>
          <w:color w:val="000000"/>
          <w:sz w:val="22"/>
          <w:szCs w:val="22"/>
        </w:rPr>
        <w:t>attiecīgo</w:t>
      </w:r>
      <w:proofErr w:type="spellEnd"/>
      <w:r w:rsidR="005F7357" w:rsidRPr="00937F40">
        <w:rPr>
          <w:color w:val="000000"/>
          <w:sz w:val="22"/>
          <w:szCs w:val="22"/>
        </w:rPr>
        <w:t xml:space="preserve"> </w:t>
      </w:r>
      <w:r w:rsidRPr="00937F40">
        <w:rPr>
          <w:color w:val="000000"/>
          <w:sz w:val="22"/>
          <w:szCs w:val="22"/>
        </w:rPr>
        <w:t xml:space="preserve">Nasdaq CSD </w:t>
      </w:r>
      <w:r w:rsidR="005F7357"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dalībnieku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kontiem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nosūtot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pieprasījumu</w:t>
      </w:r>
      <w:proofErr w:type="spellEnd"/>
      <w:r w:rsidRPr="00937F40">
        <w:rPr>
          <w:color w:val="000000"/>
          <w:sz w:val="22"/>
          <w:szCs w:val="22"/>
        </w:rPr>
        <w:t xml:space="preserve"> Nasdaq CSD </w:t>
      </w:r>
      <w:proofErr w:type="spellStart"/>
      <w:r w:rsidRPr="00937F40">
        <w:rPr>
          <w:color w:val="000000"/>
          <w:sz w:val="22"/>
          <w:szCs w:val="22"/>
        </w:rPr>
        <w:t>dalībniekiem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dzēst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turētāju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finanšu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instrumentu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kontos</w:t>
      </w:r>
      <w:proofErr w:type="spellEnd"/>
      <w:r w:rsidRPr="00937F40">
        <w:rPr>
          <w:color w:val="000000"/>
          <w:sz w:val="22"/>
          <w:szCs w:val="22"/>
        </w:rPr>
        <w:t xml:space="preserve">. </w:t>
      </w:r>
      <w:proofErr w:type="spellStart"/>
      <w:r w:rsidRPr="00937F40">
        <w:rPr>
          <w:color w:val="000000"/>
          <w:sz w:val="22"/>
          <w:szCs w:val="22"/>
        </w:rPr>
        <w:t>Atlīdzību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turētājiem</w:t>
      </w:r>
      <w:proofErr w:type="spellEnd"/>
      <w:r w:rsidRPr="00937F40">
        <w:rPr>
          <w:color w:val="000000"/>
          <w:sz w:val="22"/>
          <w:szCs w:val="22"/>
        </w:rPr>
        <w:t xml:space="preserve">, kuru </w:t>
      </w:r>
      <w:proofErr w:type="spellStart"/>
      <w:r w:rsidRPr="00937F40">
        <w:rPr>
          <w:color w:val="000000"/>
          <w:sz w:val="22"/>
          <w:szCs w:val="22"/>
        </w:rPr>
        <w:t>akcijas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ieraksta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datuma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norēķinu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dienas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beigās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atrodas</w:t>
      </w:r>
      <w:proofErr w:type="spellEnd"/>
      <w:r w:rsidRPr="00937F40">
        <w:rPr>
          <w:color w:val="000000"/>
          <w:sz w:val="22"/>
          <w:szCs w:val="22"/>
        </w:rPr>
        <w:t xml:space="preserve"> Nasdaq CSD </w:t>
      </w:r>
      <w:proofErr w:type="spellStart"/>
      <w:r w:rsidRPr="00937F40">
        <w:rPr>
          <w:color w:val="000000"/>
          <w:sz w:val="22"/>
          <w:szCs w:val="22"/>
        </w:rPr>
        <w:t>sākotnējā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reģistrā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ieskaita</w:t>
      </w:r>
      <w:proofErr w:type="spellEnd"/>
      <w:r w:rsidRPr="00937F40">
        <w:rPr>
          <w:color w:val="000000"/>
          <w:sz w:val="22"/>
          <w:szCs w:val="22"/>
        </w:rPr>
        <w:t xml:space="preserve"> Nasdaq CSD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kontā</w:t>
      </w:r>
      <w:proofErr w:type="spellEnd"/>
      <w:r w:rsidRPr="00937F40">
        <w:rPr>
          <w:color w:val="000000"/>
          <w:sz w:val="22"/>
          <w:szCs w:val="22"/>
        </w:rPr>
        <w:t>;</w:t>
      </w:r>
    </w:p>
    <w:p w:rsidR="00CA5A20" w:rsidRPr="00937F40" w:rsidRDefault="006C1890" w:rsidP="00D13DE9">
      <w:pPr>
        <w:pStyle w:val="BodyText"/>
        <w:numPr>
          <w:ilvl w:val="0"/>
          <w:numId w:val="4"/>
        </w:numPr>
        <w:tabs>
          <w:tab w:val="left" w:pos="367"/>
        </w:tabs>
        <w:spacing w:after="0"/>
        <w:contextualSpacing/>
        <w:jc w:val="both"/>
        <w:rPr>
          <w:sz w:val="22"/>
          <w:szCs w:val="22"/>
        </w:rPr>
      </w:pPr>
      <w:r w:rsidRPr="00937F40">
        <w:rPr>
          <w:color w:val="000000"/>
          <w:sz w:val="22"/>
          <w:szCs w:val="22"/>
        </w:rPr>
        <w:t xml:space="preserve">Nasdaq CSD </w:t>
      </w:r>
      <w:proofErr w:type="spellStart"/>
      <w:r w:rsidRPr="00937F40">
        <w:rPr>
          <w:color w:val="000000"/>
          <w:sz w:val="22"/>
          <w:szCs w:val="22"/>
        </w:rPr>
        <w:t>dalībnieks</w:t>
      </w:r>
      <w:proofErr w:type="spellEnd"/>
      <w:r w:rsidRPr="00937F40">
        <w:rPr>
          <w:color w:val="000000"/>
          <w:sz w:val="22"/>
          <w:szCs w:val="22"/>
        </w:rPr>
        <w:t xml:space="preserve">, </w:t>
      </w:r>
      <w:proofErr w:type="spellStart"/>
      <w:r w:rsidRPr="00937F40">
        <w:rPr>
          <w:color w:val="000000"/>
          <w:sz w:val="22"/>
          <w:szCs w:val="22"/>
        </w:rPr>
        <w:t>kurš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saņēmis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iepriekšējā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punkta</w:t>
      </w:r>
      <w:proofErr w:type="spellEnd"/>
      <w:r w:rsidRPr="00937F40">
        <w:rPr>
          <w:color w:val="000000"/>
          <w:sz w:val="22"/>
          <w:szCs w:val="22"/>
        </w:rPr>
        <w:t xml:space="preserve"> b. </w:t>
      </w:r>
      <w:proofErr w:type="spellStart"/>
      <w:r w:rsidRPr="00937F40">
        <w:rPr>
          <w:color w:val="000000"/>
          <w:sz w:val="22"/>
          <w:szCs w:val="22"/>
        </w:rPr>
        <w:t>apakšpunktā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minēto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maksājumu</w:t>
      </w:r>
      <w:proofErr w:type="spellEnd"/>
      <w:r w:rsidRPr="00937F40">
        <w:rPr>
          <w:color w:val="000000"/>
          <w:sz w:val="22"/>
          <w:szCs w:val="22"/>
        </w:rPr>
        <w:t xml:space="preserve"> no Nasdaq CSD </w:t>
      </w:r>
      <w:proofErr w:type="spellStart"/>
      <w:r w:rsidRPr="00937F40">
        <w:rPr>
          <w:color w:val="000000"/>
          <w:sz w:val="22"/>
          <w:szCs w:val="22"/>
        </w:rPr>
        <w:t>vienas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darba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dienas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laikā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pēc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šāda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naudas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maksājuma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saņemšanas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pārskaita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pirkuma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maksu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attiecīgajiem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akcionāriem</w:t>
      </w:r>
      <w:proofErr w:type="spellEnd"/>
      <w:r w:rsidRPr="00937F40">
        <w:rPr>
          <w:color w:val="000000"/>
          <w:sz w:val="22"/>
          <w:szCs w:val="22"/>
        </w:rPr>
        <w:t xml:space="preserve"> -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turētājiem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atbilstoši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tiem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piederošo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Atpērkamo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akciju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skaitam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saskaņā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iegrāmatojumu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finanšu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instrumentu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kontos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ieraksta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datuma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dienas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beigās</w:t>
      </w:r>
      <w:proofErr w:type="spellEnd"/>
      <w:r w:rsidRPr="00937F40">
        <w:rPr>
          <w:color w:val="000000"/>
          <w:sz w:val="22"/>
          <w:szCs w:val="22"/>
        </w:rPr>
        <w:t>.</w:t>
      </w:r>
    </w:p>
    <w:p w:rsidR="00EC3DD1" w:rsidRPr="00937F40" w:rsidRDefault="00EC3DD1" w:rsidP="00D13DE9">
      <w:pPr>
        <w:pStyle w:val="BodyText"/>
        <w:tabs>
          <w:tab w:val="left" w:pos="367"/>
        </w:tabs>
        <w:spacing w:after="0"/>
        <w:ind w:left="720"/>
        <w:contextualSpacing/>
        <w:jc w:val="both"/>
        <w:rPr>
          <w:sz w:val="22"/>
          <w:szCs w:val="22"/>
        </w:rPr>
      </w:pPr>
    </w:p>
    <w:p w:rsidR="00CA5A20" w:rsidRPr="00937F40" w:rsidRDefault="00EC3DD1" w:rsidP="00D13DE9">
      <w:pPr>
        <w:pStyle w:val="Heading10"/>
        <w:keepNext/>
        <w:keepLines/>
        <w:numPr>
          <w:ilvl w:val="0"/>
          <w:numId w:val="1"/>
        </w:numPr>
        <w:tabs>
          <w:tab w:val="left" w:pos="373"/>
        </w:tabs>
        <w:spacing w:after="0"/>
        <w:contextualSpacing/>
        <w:rPr>
          <w:color w:val="000000"/>
          <w:sz w:val="22"/>
          <w:szCs w:val="22"/>
        </w:rPr>
      </w:pPr>
      <w:bookmarkStart w:id="22" w:name="bookmark66"/>
      <w:bookmarkStart w:id="23" w:name="bookmark67"/>
      <w:bookmarkStart w:id="24" w:name="bookmark69"/>
      <w:r w:rsidRPr="00937F40">
        <w:rPr>
          <w:color w:val="000000"/>
          <w:sz w:val="22"/>
          <w:szCs w:val="22"/>
        </w:rPr>
        <w:t xml:space="preserve"> </w:t>
      </w:r>
      <w:proofErr w:type="spellStart"/>
      <w:r w:rsidR="00CA5A20" w:rsidRPr="00937F40">
        <w:rPr>
          <w:color w:val="000000"/>
          <w:sz w:val="22"/>
          <w:szCs w:val="22"/>
        </w:rPr>
        <w:t>Atpircēja</w:t>
      </w:r>
      <w:proofErr w:type="spellEnd"/>
      <w:r w:rsidR="00CA5A20" w:rsidRPr="00937F40">
        <w:rPr>
          <w:color w:val="000000"/>
          <w:sz w:val="22"/>
          <w:szCs w:val="22"/>
        </w:rPr>
        <w:t xml:space="preserve"> </w:t>
      </w:r>
      <w:proofErr w:type="spellStart"/>
      <w:r w:rsidR="00CA5A20" w:rsidRPr="00937F40">
        <w:rPr>
          <w:color w:val="000000"/>
          <w:sz w:val="22"/>
          <w:szCs w:val="22"/>
        </w:rPr>
        <w:t>nodomi</w:t>
      </w:r>
      <w:proofErr w:type="spellEnd"/>
      <w:r w:rsidR="00CA5A20" w:rsidRPr="00937F40">
        <w:rPr>
          <w:color w:val="000000"/>
          <w:sz w:val="22"/>
          <w:szCs w:val="22"/>
        </w:rPr>
        <w:t xml:space="preserve"> par </w:t>
      </w:r>
      <w:proofErr w:type="spellStart"/>
      <w:r w:rsidR="00CA5A20" w:rsidRPr="00937F40">
        <w:rPr>
          <w:color w:val="000000"/>
          <w:sz w:val="22"/>
          <w:szCs w:val="22"/>
        </w:rPr>
        <w:t>Mērķa</w:t>
      </w:r>
      <w:proofErr w:type="spellEnd"/>
      <w:r w:rsidR="00CA5A20" w:rsidRPr="00937F40">
        <w:rPr>
          <w:color w:val="000000"/>
          <w:sz w:val="22"/>
          <w:szCs w:val="22"/>
        </w:rPr>
        <w:t xml:space="preserve"> </w:t>
      </w:r>
      <w:proofErr w:type="spellStart"/>
      <w:r w:rsidR="00CA5A20" w:rsidRPr="00937F40">
        <w:rPr>
          <w:color w:val="000000"/>
          <w:sz w:val="22"/>
          <w:szCs w:val="22"/>
        </w:rPr>
        <w:t>sabiedrības</w:t>
      </w:r>
      <w:proofErr w:type="spellEnd"/>
      <w:r w:rsidR="00CA5A20" w:rsidRPr="00937F40">
        <w:rPr>
          <w:color w:val="000000"/>
          <w:sz w:val="22"/>
          <w:szCs w:val="22"/>
        </w:rPr>
        <w:t xml:space="preserve"> </w:t>
      </w:r>
      <w:proofErr w:type="spellStart"/>
      <w:r w:rsidR="00CA5A20" w:rsidRPr="00937F40">
        <w:rPr>
          <w:color w:val="000000"/>
          <w:sz w:val="22"/>
          <w:szCs w:val="22"/>
        </w:rPr>
        <w:t>turpmāko</w:t>
      </w:r>
      <w:proofErr w:type="spellEnd"/>
      <w:r w:rsidR="00CA5A20" w:rsidRPr="00937F40">
        <w:rPr>
          <w:color w:val="000000"/>
          <w:sz w:val="22"/>
          <w:szCs w:val="22"/>
        </w:rPr>
        <w:t xml:space="preserve"> </w:t>
      </w:r>
      <w:proofErr w:type="spellStart"/>
      <w:r w:rsidR="00CA5A20" w:rsidRPr="00937F40">
        <w:rPr>
          <w:color w:val="000000"/>
          <w:sz w:val="22"/>
          <w:szCs w:val="22"/>
        </w:rPr>
        <w:t>darbību</w:t>
      </w:r>
      <w:bookmarkEnd w:id="22"/>
      <w:bookmarkEnd w:id="23"/>
      <w:bookmarkEnd w:id="24"/>
      <w:proofErr w:type="spellEnd"/>
    </w:p>
    <w:p w:rsidR="00EC3DD1" w:rsidRPr="00937F40" w:rsidRDefault="00CA5A20" w:rsidP="00D13DE9">
      <w:pPr>
        <w:pStyle w:val="Heading10"/>
        <w:keepNext/>
        <w:keepLines/>
        <w:tabs>
          <w:tab w:val="left" w:pos="373"/>
        </w:tabs>
        <w:spacing w:after="0"/>
        <w:contextualSpacing/>
        <w:jc w:val="both"/>
        <w:rPr>
          <w:b w:val="0"/>
          <w:bCs w:val="0"/>
          <w:color w:val="000000"/>
          <w:sz w:val="22"/>
          <w:szCs w:val="22"/>
        </w:rPr>
      </w:pPr>
      <w:proofErr w:type="spellStart"/>
      <w:r w:rsidRPr="00937F40">
        <w:rPr>
          <w:b w:val="0"/>
          <w:bCs w:val="0"/>
          <w:color w:val="000000"/>
          <w:sz w:val="22"/>
          <w:szCs w:val="22"/>
        </w:rPr>
        <w:t>Pēc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galīgas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akciju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atpirkšanas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pabeigšanas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937F40">
        <w:rPr>
          <w:b w:val="0"/>
          <w:bCs w:val="0"/>
          <w:color w:val="000000"/>
          <w:sz w:val="22"/>
          <w:szCs w:val="22"/>
        </w:rPr>
        <w:t>un</w:t>
      </w:r>
      <w:proofErr w:type="gram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Mērķa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sabiedrības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akciju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izslēgšanas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no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regulētā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tirgus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Mērķa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sabiedrība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turpinās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līdzšinējo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komercdarbību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saglabājot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pašreizējo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nodarbinātības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politiku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darba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vietu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skaitu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un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Mērķa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sabiedrības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atrašanās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37F40">
        <w:rPr>
          <w:b w:val="0"/>
          <w:bCs w:val="0"/>
          <w:color w:val="000000"/>
          <w:sz w:val="22"/>
          <w:szCs w:val="22"/>
        </w:rPr>
        <w:t>vietu</w:t>
      </w:r>
      <w:proofErr w:type="spellEnd"/>
      <w:r w:rsidRPr="00937F40">
        <w:rPr>
          <w:b w:val="0"/>
          <w:bCs w:val="0"/>
          <w:color w:val="000000"/>
          <w:sz w:val="22"/>
          <w:szCs w:val="22"/>
        </w:rPr>
        <w:t>.</w:t>
      </w:r>
      <w:bookmarkStart w:id="25" w:name="bookmark78"/>
      <w:bookmarkStart w:id="26" w:name="bookmark79"/>
      <w:bookmarkStart w:id="27" w:name="bookmark81"/>
    </w:p>
    <w:p w:rsidR="00937F40" w:rsidRDefault="00937F40" w:rsidP="00D13DE9">
      <w:pPr>
        <w:pStyle w:val="Heading10"/>
        <w:keepNext/>
        <w:keepLines/>
        <w:tabs>
          <w:tab w:val="left" w:pos="373"/>
        </w:tabs>
        <w:spacing w:after="0"/>
        <w:contextualSpacing/>
        <w:jc w:val="both"/>
        <w:rPr>
          <w:b w:val="0"/>
          <w:bCs w:val="0"/>
          <w:color w:val="000000"/>
          <w:sz w:val="22"/>
          <w:szCs w:val="22"/>
        </w:rPr>
      </w:pPr>
    </w:p>
    <w:p w:rsidR="00660727" w:rsidRDefault="00660727" w:rsidP="00D13DE9">
      <w:pPr>
        <w:pStyle w:val="Heading10"/>
        <w:keepNext/>
        <w:keepLines/>
        <w:tabs>
          <w:tab w:val="left" w:pos="373"/>
        </w:tabs>
        <w:spacing w:after="0"/>
        <w:contextualSpacing/>
        <w:jc w:val="both"/>
        <w:rPr>
          <w:b w:val="0"/>
          <w:bCs w:val="0"/>
          <w:color w:val="000000"/>
          <w:sz w:val="22"/>
          <w:szCs w:val="22"/>
        </w:rPr>
      </w:pPr>
    </w:p>
    <w:p w:rsidR="00660727" w:rsidRDefault="00660727" w:rsidP="00D13DE9">
      <w:pPr>
        <w:pStyle w:val="Heading10"/>
        <w:keepNext/>
        <w:keepLines/>
        <w:tabs>
          <w:tab w:val="left" w:pos="373"/>
        </w:tabs>
        <w:spacing w:after="0"/>
        <w:contextualSpacing/>
        <w:jc w:val="both"/>
        <w:rPr>
          <w:b w:val="0"/>
          <w:bCs w:val="0"/>
          <w:color w:val="000000"/>
          <w:sz w:val="22"/>
          <w:szCs w:val="22"/>
        </w:rPr>
      </w:pPr>
    </w:p>
    <w:p w:rsidR="00660727" w:rsidRPr="00937F40" w:rsidRDefault="00660727" w:rsidP="00D13DE9">
      <w:pPr>
        <w:pStyle w:val="Heading10"/>
        <w:keepNext/>
        <w:keepLines/>
        <w:tabs>
          <w:tab w:val="left" w:pos="373"/>
        </w:tabs>
        <w:spacing w:after="0"/>
        <w:contextualSpacing/>
        <w:jc w:val="both"/>
        <w:rPr>
          <w:b w:val="0"/>
          <w:bCs w:val="0"/>
          <w:color w:val="000000"/>
          <w:sz w:val="22"/>
          <w:szCs w:val="22"/>
        </w:rPr>
      </w:pPr>
      <w:bookmarkStart w:id="28" w:name="_GoBack"/>
      <w:bookmarkEnd w:id="28"/>
    </w:p>
    <w:p w:rsidR="00EC3DD1" w:rsidRPr="00937F40" w:rsidRDefault="00EC3DD1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</w:p>
    <w:p w:rsidR="00EC3DD1" w:rsidRPr="00937F40" w:rsidRDefault="00CA5A20" w:rsidP="00D13DE9">
      <w:pPr>
        <w:pStyle w:val="BodyText"/>
        <w:numPr>
          <w:ilvl w:val="0"/>
          <w:numId w:val="1"/>
        </w:numPr>
        <w:spacing w:after="0"/>
        <w:contextualSpacing/>
        <w:jc w:val="both"/>
        <w:rPr>
          <w:color w:val="000000"/>
          <w:sz w:val="22"/>
          <w:szCs w:val="22"/>
        </w:rPr>
      </w:pPr>
      <w:proofErr w:type="spellStart"/>
      <w:r w:rsidRPr="00937F40">
        <w:rPr>
          <w:b/>
          <w:color w:val="000000"/>
          <w:sz w:val="22"/>
          <w:szCs w:val="22"/>
        </w:rPr>
        <w:lastRenderedPageBreak/>
        <w:t>Informācija</w:t>
      </w:r>
      <w:proofErr w:type="spellEnd"/>
      <w:r w:rsidRPr="00937F40">
        <w:rPr>
          <w:b/>
          <w:color w:val="000000"/>
          <w:sz w:val="22"/>
          <w:szCs w:val="22"/>
        </w:rPr>
        <w:t xml:space="preserve"> par </w:t>
      </w:r>
      <w:proofErr w:type="spellStart"/>
      <w:r w:rsidRPr="00937F40">
        <w:rPr>
          <w:b/>
          <w:color w:val="000000"/>
          <w:sz w:val="22"/>
          <w:szCs w:val="22"/>
        </w:rPr>
        <w:t>Atpirkšanas</w:t>
      </w:r>
      <w:proofErr w:type="spellEnd"/>
      <w:r w:rsidRPr="00937F40">
        <w:rPr>
          <w:b/>
          <w:color w:val="000000"/>
          <w:sz w:val="22"/>
          <w:szCs w:val="22"/>
        </w:rPr>
        <w:t xml:space="preserve"> </w:t>
      </w:r>
      <w:proofErr w:type="spellStart"/>
      <w:r w:rsidRPr="00937F40">
        <w:rPr>
          <w:b/>
          <w:color w:val="000000"/>
          <w:sz w:val="22"/>
          <w:szCs w:val="22"/>
        </w:rPr>
        <w:t>finansēšanas</w:t>
      </w:r>
      <w:proofErr w:type="spellEnd"/>
      <w:r w:rsidRPr="00937F40">
        <w:rPr>
          <w:b/>
          <w:color w:val="000000"/>
          <w:sz w:val="22"/>
          <w:szCs w:val="22"/>
        </w:rPr>
        <w:t xml:space="preserve"> </w:t>
      </w:r>
      <w:proofErr w:type="spellStart"/>
      <w:r w:rsidRPr="00937F40">
        <w:rPr>
          <w:b/>
          <w:color w:val="000000"/>
          <w:sz w:val="22"/>
          <w:szCs w:val="22"/>
        </w:rPr>
        <w:t>avotiem</w:t>
      </w:r>
      <w:bookmarkStart w:id="29" w:name="bookmark84"/>
      <w:bookmarkStart w:id="30" w:name="bookmark82"/>
      <w:bookmarkStart w:id="31" w:name="bookmark83"/>
      <w:bookmarkStart w:id="32" w:name="bookmark85"/>
      <w:bookmarkEnd w:id="25"/>
      <w:bookmarkEnd w:id="26"/>
      <w:bookmarkEnd w:id="27"/>
      <w:bookmarkEnd w:id="29"/>
      <w:proofErr w:type="spellEnd"/>
    </w:p>
    <w:p w:rsidR="00D07F74" w:rsidRPr="00937F40" w:rsidRDefault="00D07F74" w:rsidP="00D13DE9">
      <w:pPr>
        <w:pStyle w:val="Default"/>
        <w:spacing w:line="29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937F40">
        <w:rPr>
          <w:rFonts w:ascii="Arial" w:hAnsi="Arial" w:cs="Arial"/>
          <w:sz w:val="22"/>
          <w:szCs w:val="22"/>
        </w:rPr>
        <w:t>Signet</w:t>
      </w:r>
      <w:proofErr w:type="spellEnd"/>
      <w:r w:rsidRPr="00937F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7F40">
        <w:rPr>
          <w:rFonts w:ascii="Arial" w:hAnsi="Arial" w:cs="Arial"/>
          <w:sz w:val="22"/>
          <w:szCs w:val="22"/>
        </w:rPr>
        <w:t>Bank</w:t>
      </w:r>
      <w:proofErr w:type="spellEnd"/>
      <w:r w:rsidRPr="00937F40">
        <w:rPr>
          <w:rFonts w:ascii="Arial" w:hAnsi="Arial" w:cs="Arial"/>
          <w:sz w:val="22"/>
          <w:szCs w:val="22"/>
        </w:rPr>
        <w:t xml:space="preserve"> AS (vienotais reģistrācijas numurs: 40003076407, juridiskā adrese: Antonijas iela 3, Rīga, LV-1010, Latvija) ir piešķīrusi Piedāvātajam līdzekļus norēķinu veikšanai par akciju atpirkšanu. </w:t>
      </w:r>
    </w:p>
    <w:p w:rsidR="00EC3DD1" w:rsidRPr="00937F40" w:rsidRDefault="00EC3DD1" w:rsidP="00D13DE9">
      <w:pPr>
        <w:pStyle w:val="BodyText"/>
        <w:spacing w:after="0"/>
        <w:contextualSpacing/>
        <w:jc w:val="both"/>
        <w:rPr>
          <w:b/>
          <w:color w:val="000000"/>
          <w:sz w:val="22"/>
          <w:szCs w:val="22"/>
          <w:lang w:val="lv-LV"/>
        </w:rPr>
      </w:pPr>
    </w:p>
    <w:p w:rsidR="00CA5A20" w:rsidRPr="00937F40" w:rsidRDefault="00CA5A20" w:rsidP="00D13DE9">
      <w:pPr>
        <w:pStyle w:val="BodyText"/>
        <w:numPr>
          <w:ilvl w:val="0"/>
          <w:numId w:val="1"/>
        </w:numPr>
        <w:spacing w:after="0"/>
        <w:contextualSpacing/>
        <w:jc w:val="both"/>
        <w:rPr>
          <w:b/>
          <w:color w:val="000000"/>
          <w:sz w:val="22"/>
          <w:szCs w:val="22"/>
        </w:rPr>
      </w:pPr>
      <w:proofErr w:type="spellStart"/>
      <w:r w:rsidRPr="00937F40">
        <w:rPr>
          <w:b/>
          <w:color w:val="000000"/>
          <w:sz w:val="22"/>
          <w:szCs w:val="22"/>
        </w:rPr>
        <w:t>Cita</w:t>
      </w:r>
      <w:proofErr w:type="spellEnd"/>
      <w:r w:rsidRPr="00937F40">
        <w:rPr>
          <w:b/>
          <w:color w:val="000000"/>
          <w:sz w:val="22"/>
          <w:szCs w:val="22"/>
        </w:rPr>
        <w:t xml:space="preserve"> </w:t>
      </w:r>
      <w:proofErr w:type="spellStart"/>
      <w:r w:rsidRPr="00937F40">
        <w:rPr>
          <w:b/>
          <w:color w:val="000000"/>
          <w:sz w:val="22"/>
          <w:szCs w:val="22"/>
        </w:rPr>
        <w:t>būtiska</w:t>
      </w:r>
      <w:proofErr w:type="spellEnd"/>
      <w:r w:rsidRPr="00937F40">
        <w:rPr>
          <w:b/>
          <w:color w:val="000000"/>
          <w:sz w:val="22"/>
          <w:szCs w:val="22"/>
        </w:rPr>
        <w:t xml:space="preserve"> </w:t>
      </w:r>
      <w:proofErr w:type="spellStart"/>
      <w:r w:rsidRPr="00937F40">
        <w:rPr>
          <w:b/>
          <w:color w:val="000000"/>
          <w:sz w:val="22"/>
          <w:szCs w:val="22"/>
        </w:rPr>
        <w:t>informācija</w:t>
      </w:r>
      <w:proofErr w:type="spellEnd"/>
      <w:r w:rsidRPr="00937F40">
        <w:rPr>
          <w:b/>
          <w:color w:val="000000"/>
          <w:sz w:val="22"/>
          <w:szCs w:val="22"/>
        </w:rPr>
        <w:t>.</w:t>
      </w:r>
      <w:bookmarkEnd w:id="30"/>
      <w:bookmarkEnd w:id="31"/>
      <w:bookmarkEnd w:id="32"/>
    </w:p>
    <w:p w:rsidR="00CA5A20" w:rsidRPr="00937F40" w:rsidRDefault="00CA5A20" w:rsidP="00D13DE9">
      <w:pPr>
        <w:pStyle w:val="BodyText"/>
        <w:spacing w:after="0"/>
        <w:contextualSpacing/>
        <w:rPr>
          <w:sz w:val="22"/>
          <w:szCs w:val="22"/>
        </w:rPr>
      </w:pPr>
      <w:proofErr w:type="spellStart"/>
      <w:r w:rsidRPr="00937F40">
        <w:rPr>
          <w:color w:val="000000"/>
          <w:sz w:val="22"/>
          <w:szCs w:val="22"/>
        </w:rPr>
        <w:t>Ar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Prospektu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var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iepazīties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Mērķa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sabiedrības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proofErr w:type="spellStart"/>
      <w:r w:rsidRPr="00937F40">
        <w:rPr>
          <w:color w:val="000000"/>
          <w:sz w:val="22"/>
          <w:szCs w:val="22"/>
        </w:rPr>
        <w:t>mājaslapā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hyperlink r:id="rId8" w:history="1">
        <w:r w:rsidR="00EC3DD1" w:rsidRPr="00937F40">
          <w:rPr>
            <w:rStyle w:val="Hyperlink"/>
            <w:sz w:val="22"/>
            <w:szCs w:val="22"/>
          </w:rPr>
          <w:t>www.rigagold.lv</w:t>
        </w:r>
      </w:hyperlink>
      <w:r w:rsidR="00EC3DD1" w:rsidRPr="00937F40">
        <w:rPr>
          <w:color w:val="5B87CA"/>
          <w:sz w:val="22"/>
          <w:szCs w:val="22"/>
          <w:u w:val="single"/>
        </w:rPr>
        <w:t xml:space="preserve"> </w:t>
      </w:r>
      <w:proofErr w:type="gramStart"/>
      <w:r w:rsidRPr="00937F40">
        <w:rPr>
          <w:color w:val="000000"/>
          <w:sz w:val="22"/>
          <w:szCs w:val="22"/>
        </w:rPr>
        <w:t>un</w:t>
      </w:r>
      <w:proofErr w:type="gramEnd"/>
      <w:r w:rsidRPr="00937F40">
        <w:rPr>
          <w:color w:val="000000"/>
          <w:sz w:val="22"/>
          <w:szCs w:val="22"/>
        </w:rPr>
        <w:t xml:space="preserve"> Nasdaq Riga </w:t>
      </w:r>
      <w:proofErr w:type="spellStart"/>
      <w:r w:rsidRPr="00937F40">
        <w:rPr>
          <w:color w:val="000000"/>
          <w:sz w:val="22"/>
          <w:szCs w:val="22"/>
        </w:rPr>
        <w:t>mājaslapā</w:t>
      </w:r>
      <w:proofErr w:type="spellEnd"/>
      <w:r w:rsidRPr="00937F40">
        <w:rPr>
          <w:color w:val="000000"/>
          <w:sz w:val="22"/>
          <w:szCs w:val="22"/>
        </w:rPr>
        <w:t xml:space="preserve"> </w:t>
      </w:r>
      <w:hyperlink r:id="rId9" w:history="1">
        <w:r w:rsidRPr="00937F40">
          <w:rPr>
            <w:color w:val="5B87CA"/>
            <w:sz w:val="22"/>
            <w:szCs w:val="22"/>
            <w:u w:val="single"/>
          </w:rPr>
          <w:t>www.nasdaqbaltic.com</w:t>
        </w:r>
      </w:hyperlink>
      <w:r w:rsidRPr="00937F40">
        <w:rPr>
          <w:color w:val="5B87CA"/>
          <w:sz w:val="22"/>
          <w:szCs w:val="22"/>
        </w:rPr>
        <w:t>.</w:t>
      </w:r>
    </w:p>
    <w:p w:rsidR="00CA5A20" w:rsidRPr="00937F40" w:rsidRDefault="00CA5A20" w:rsidP="00D13DE9">
      <w:pPr>
        <w:pStyle w:val="Heading10"/>
        <w:keepNext/>
        <w:keepLines/>
        <w:tabs>
          <w:tab w:val="left" w:pos="-24"/>
        </w:tabs>
        <w:spacing w:after="0"/>
        <w:ind w:left="-360"/>
        <w:contextualSpacing/>
        <w:rPr>
          <w:b w:val="0"/>
          <w:sz w:val="22"/>
          <w:szCs w:val="22"/>
        </w:rPr>
      </w:pPr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  <w:proofErr w:type="spellStart"/>
      <w:r w:rsidRPr="00937F40">
        <w:rPr>
          <w:sz w:val="22"/>
          <w:szCs w:val="22"/>
        </w:rPr>
        <w:t>Atpircēja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vārdā</w:t>
      </w:r>
      <w:proofErr w:type="spellEnd"/>
      <w:r w:rsidRPr="00937F40">
        <w:rPr>
          <w:sz w:val="22"/>
          <w:szCs w:val="22"/>
        </w:rPr>
        <w:t>,</w:t>
      </w:r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  <w:proofErr w:type="spellStart"/>
      <w:r w:rsidRPr="00937F40">
        <w:rPr>
          <w:sz w:val="22"/>
          <w:szCs w:val="22"/>
        </w:rPr>
        <w:t>Aleksandrs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Veiss</w:t>
      </w:r>
      <w:proofErr w:type="spellEnd"/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  <w:proofErr w:type="spellStart"/>
      <w:r w:rsidRPr="00937F40">
        <w:rPr>
          <w:sz w:val="22"/>
          <w:szCs w:val="22"/>
        </w:rPr>
        <w:t>Sabiedrība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ar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ierobežotu</w:t>
      </w:r>
      <w:proofErr w:type="spellEnd"/>
      <w:r w:rsidRPr="00937F40">
        <w:rPr>
          <w:sz w:val="22"/>
          <w:szCs w:val="22"/>
        </w:rPr>
        <w:t xml:space="preserve"> </w:t>
      </w:r>
      <w:proofErr w:type="spellStart"/>
      <w:r w:rsidRPr="00937F40">
        <w:rPr>
          <w:sz w:val="22"/>
          <w:szCs w:val="22"/>
        </w:rPr>
        <w:t>atbildību</w:t>
      </w:r>
      <w:proofErr w:type="spellEnd"/>
      <w:r w:rsidRPr="00937F40">
        <w:rPr>
          <w:sz w:val="22"/>
          <w:szCs w:val="22"/>
        </w:rPr>
        <w:t xml:space="preserve"> "NAMEJS 1"</w:t>
      </w:r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  <w:r w:rsidRPr="00937F40">
        <w:rPr>
          <w:sz w:val="22"/>
          <w:szCs w:val="22"/>
        </w:rPr>
        <w:t xml:space="preserve">Valdes </w:t>
      </w:r>
      <w:proofErr w:type="spellStart"/>
      <w:r w:rsidRPr="00937F40">
        <w:rPr>
          <w:sz w:val="22"/>
          <w:szCs w:val="22"/>
        </w:rPr>
        <w:t>loceklis</w:t>
      </w:r>
      <w:proofErr w:type="spellEnd"/>
    </w:p>
    <w:p w:rsidR="00D07F74" w:rsidRPr="00937F40" w:rsidRDefault="00D07F74" w:rsidP="00D13DE9">
      <w:pPr>
        <w:pStyle w:val="BodyText"/>
        <w:spacing w:after="0"/>
        <w:contextualSpacing/>
        <w:rPr>
          <w:sz w:val="22"/>
          <w:szCs w:val="22"/>
        </w:rPr>
      </w:pPr>
    </w:p>
    <w:p w:rsidR="00D07F74" w:rsidRPr="00937F40" w:rsidRDefault="00D07F74" w:rsidP="00D13DE9">
      <w:pPr>
        <w:pStyle w:val="BodyText"/>
        <w:contextualSpacing/>
        <w:rPr>
          <w:sz w:val="22"/>
          <w:szCs w:val="22"/>
        </w:rPr>
      </w:pPr>
      <w:proofErr w:type="spellStart"/>
      <w:r w:rsidRPr="00937F40">
        <w:rPr>
          <w:sz w:val="22"/>
          <w:szCs w:val="22"/>
        </w:rPr>
        <w:t>Rīga</w:t>
      </w:r>
      <w:proofErr w:type="spellEnd"/>
      <w:r w:rsidRPr="00937F40">
        <w:rPr>
          <w:sz w:val="22"/>
          <w:szCs w:val="22"/>
        </w:rPr>
        <w:t xml:space="preserve">, 2021.gada </w:t>
      </w:r>
      <w:r w:rsidRPr="009A1F43">
        <w:rPr>
          <w:sz w:val="22"/>
          <w:szCs w:val="22"/>
        </w:rPr>
        <w:t>2</w:t>
      </w:r>
      <w:r w:rsidR="00F224B3" w:rsidRPr="009A1F43">
        <w:rPr>
          <w:sz w:val="22"/>
          <w:szCs w:val="22"/>
        </w:rPr>
        <w:t>4</w:t>
      </w:r>
      <w:r w:rsidRPr="009A1F43">
        <w:rPr>
          <w:sz w:val="22"/>
          <w:szCs w:val="22"/>
        </w:rPr>
        <w:t>.februārī.</w:t>
      </w:r>
    </w:p>
    <w:p w:rsidR="00CA5A20" w:rsidRPr="00937F40" w:rsidRDefault="00CA5A20" w:rsidP="00D13DE9">
      <w:pPr>
        <w:pStyle w:val="BodyText"/>
        <w:tabs>
          <w:tab w:val="left" w:pos="367"/>
        </w:tabs>
        <w:spacing w:after="780"/>
        <w:contextualSpacing/>
        <w:jc w:val="both"/>
        <w:rPr>
          <w:b/>
          <w:sz w:val="22"/>
          <w:szCs w:val="22"/>
        </w:rPr>
      </w:pPr>
    </w:p>
    <w:p w:rsidR="003D441B" w:rsidRPr="00937F40" w:rsidRDefault="003D441B" w:rsidP="00D13DE9">
      <w:pPr>
        <w:pStyle w:val="BodyText"/>
        <w:tabs>
          <w:tab w:val="left" w:pos="742"/>
        </w:tabs>
        <w:spacing w:after="0"/>
        <w:ind w:left="720"/>
        <w:contextualSpacing/>
        <w:jc w:val="both"/>
        <w:rPr>
          <w:sz w:val="22"/>
          <w:szCs w:val="22"/>
        </w:rPr>
      </w:pPr>
    </w:p>
    <w:p w:rsidR="003E181D" w:rsidRPr="00937F40" w:rsidRDefault="003E181D" w:rsidP="00D13DE9">
      <w:pPr>
        <w:pStyle w:val="BodyText"/>
        <w:spacing w:after="540"/>
        <w:contextualSpacing/>
        <w:jc w:val="both"/>
        <w:rPr>
          <w:color w:val="000000"/>
          <w:sz w:val="22"/>
          <w:szCs w:val="22"/>
        </w:rPr>
      </w:pPr>
    </w:p>
    <w:p w:rsidR="000D2457" w:rsidRPr="00937F40" w:rsidRDefault="000D2457" w:rsidP="00D13DE9">
      <w:pPr>
        <w:pStyle w:val="BodyText"/>
        <w:spacing w:after="540"/>
        <w:contextualSpacing/>
        <w:jc w:val="both"/>
        <w:rPr>
          <w:color w:val="000000"/>
          <w:sz w:val="22"/>
          <w:szCs w:val="22"/>
        </w:rPr>
      </w:pPr>
    </w:p>
    <w:p w:rsidR="000D2457" w:rsidRPr="00937F40" w:rsidRDefault="000D2457" w:rsidP="00D13DE9">
      <w:pPr>
        <w:pStyle w:val="BodyText"/>
        <w:spacing w:after="540"/>
        <w:contextualSpacing/>
        <w:jc w:val="both"/>
        <w:rPr>
          <w:sz w:val="22"/>
          <w:szCs w:val="22"/>
        </w:rPr>
      </w:pPr>
    </w:p>
    <w:p w:rsidR="000D2457" w:rsidRPr="00937F40" w:rsidRDefault="000D2457" w:rsidP="00D13DE9">
      <w:pPr>
        <w:pStyle w:val="BodyText"/>
        <w:contextualSpacing/>
        <w:jc w:val="both"/>
        <w:rPr>
          <w:sz w:val="22"/>
          <w:szCs w:val="22"/>
        </w:rPr>
      </w:pPr>
    </w:p>
    <w:p w:rsidR="00E20A21" w:rsidRPr="00937F40" w:rsidRDefault="00E20A21" w:rsidP="00D13DE9">
      <w:pPr>
        <w:pStyle w:val="BodyText"/>
        <w:spacing w:after="500"/>
        <w:contextualSpacing/>
        <w:jc w:val="both"/>
        <w:rPr>
          <w:sz w:val="22"/>
          <w:szCs w:val="22"/>
        </w:rPr>
      </w:pPr>
    </w:p>
    <w:p w:rsidR="00B02696" w:rsidRPr="00937F40" w:rsidRDefault="00B02696" w:rsidP="00D13DE9">
      <w:pPr>
        <w:pStyle w:val="BodyText"/>
        <w:spacing w:after="0"/>
        <w:contextualSpacing/>
        <w:jc w:val="both"/>
        <w:rPr>
          <w:sz w:val="22"/>
          <w:szCs w:val="22"/>
        </w:rPr>
      </w:pPr>
    </w:p>
    <w:p w:rsidR="00B02696" w:rsidRPr="00937F40" w:rsidRDefault="00B02696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</w:p>
    <w:p w:rsidR="00B02696" w:rsidRPr="00937F40" w:rsidRDefault="00B02696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</w:p>
    <w:p w:rsidR="00B02696" w:rsidRPr="00937F40" w:rsidRDefault="00B02696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</w:p>
    <w:p w:rsidR="00B02696" w:rsidRPr="00937F40" w:rsidRDefault="00B02696" w:rsidP="00D13DE9">
      <w:pPr>
        <w:pStyle w:val="BodyText"/>
        <w:spacing w:after="0"/>
        <w:contextualSpacing/>
        <w:jc w:val="both"/>
        <w:rPr>
          <w:color w:val="000000"/>
          <w:sz w:val="22"/>
          <w:szCs w:val="22"/>
        </w:rPr>
      </w:pPr>
    </w:p>
    <w:p w:rsidR="00F7716D" w:rsidRPr="00937F40" w:rsidRDefault="00F7716D" w:rsidP="00D13DE9">
      <w:pPr>
        <w:spacing w:after="0" w:line="290" w:lineRule="auto"/>
        <w:contextualSpacing/>
        <w:rPr>
          <w:rFonts w:ascii="Arial" w:hAnsi="Arial" w:cs="Arial"/>
          <w:lang w:val="en-US"/>
        </w:rPr>
      </w:pPr>
    </w:p>
    <w:sectPr w:rsidR="00F7716D" w:rsidRPr="00937F40" w:rsidSect="00711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870"/>
    <w:multiLevelType w:val="multilevel"/>
    <w:tmpl w:val="108C46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44D9B"/>
    <w:multiLevelType w:val="multilevel"/>
    <w:tmpl w:val="077C5C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F3B9E"/>
    <w:multiLevelType w:val="multilevel"/>
    <w:tmpl w:val="A4E80C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611A2"/>
    <w:multiLevelType w:val="multilevel"/>
    <w:tmpl w:val="5C50FE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C6B71"/>
    <w:multiLevelType w:val="hybridMultilevel"/>
    <w:tmpl w:val="BC3CC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43A53"/>
    <w:multiLevelType w:val="multilevel"/>
    <w:tmpl w:val="53CA00F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F21F36"/>
    <w:multiLevelType w:val="multilevel"/>
    <w:tmpl w:val="3A7E82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CE5694"/>
    <w:multiLevelType w:val="multilevel"/>
    <w:tmpl w:val="5A5E65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652BE"/>
    <w:multiLevelType w:val="multilevel"/>
    <w:tmpl w:val="A058BF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BA27B5"/>
    <w:multiLevelType w:val="hybridMultilevel"/>
    <w:tmpl w:val="D3EEF07C"/>
    <w:lvl w:ilvl="0" w:tplc="13CA8E70">
      <w:start w:val="7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62C9D"/>
    <w:multiLevelType w:val="multilevel"/>
    <w:tmpl w:val="7146E9F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86CF2"/>
    <w:multiLevelType w:val="multilevel"/>
    <w:tmpl w:val="A058BF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4"/>
    <w:rsid w:val="000D1693"/>
    <w:rsid w:val="000D2457"/>
    <w:rsid w:val="00113BBD"/>
    <w:rsid w:val="001E65DA"/>
    <w:rsid w:val="00246660"/>
    <w:rsid w:val="002B7E57"/>
    <w:rsid w:val="003D441B"/>
    <w:rsid w:val="003D7455"/>
    <w:rsid w:val="003E181D"/>
    <w:rsid w:val="004D3807"/>
    <w:rsid w:val="005769CD"/>
    <w:rsid w:val="005E0EB1"/>
    <w:rsid w:val="005F7357"/>
    <w:rsid w:val="00660727"/>
    <w:rsid w:val="006A2099"/>
    <w:rsid w:val="006A5320"/>
    <w:rsid w:val="006C1890"/>
    <w:rsid w:val="00711B54"/>
    <w:rsid w:val="008D7FC3"/>
    <w:rsid w:val="00922212"/>
    <w:rsid w:val="00937F40"/>
    <w:rsid w:val="00993FAE"/>
    <w:rsid w:val="009A1F43"/>
    <w:rsid w:val="00A35D75"/>
    <w:rsid w:val="00A77E58"/>
    <w:rsid w:val="00A9778E"/>
    <w:rsid w:val="00B02696"/>
    <w:rsid w:val="00B80084"/>
    <w:rsid w:val="00CA5A20"/>
    <w:rsid w:val="00D07F74"/>
    <w:rsid w:val="00D13DE9"/>
    <w:rsid w:val="00E20A21"/>
    <w:rsid w:val="00E61725"/>
    <w:rsid w:val="00E83344"/>
    <w:rsid w:val="00EC3DD1"/>
    <w:rsid w:val="00F107A6"/>
    <w:rsid w:val="00F224B3"/>
    <w:rsid w:val="00F7716D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BE16-DE87-4E71-97BC-D9EB9A6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5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83344"/>
    <w:rPr>
      <w:rFonts w:ascii="Arial" w:eastAsia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E83344"/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"/>
    <w:link w:val="Heading1"/>
    <w:rsid w:val="00E83344"/>
    <w:pPr>
      <w:widowControl w:val="0"/>
      <w:spacing w:after="240" w:line="290" w:lineRule="auto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qFormat/>
    <w:rsid w:val="00E83344"/>
    <w:pPr>
      <w:widowControl w:val="0"/>
      <w:spacing w:after="240" w:line="29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E83344"/>
    <w:rPr>
      <w:lang w:val="lv-LV"/>
    </w:rPr>
  </w:style>
  <w:style w:type="character" w:styleId="Hyperlink">
    <w:name w:val="Hyperlink"/>
    <w:basedOn w:val="DefaultParagraphFont"/>
    <w:uiPriority w:val="99"/>
    <w:unhideWhenUsed/>
    <w:rsid w:val="00E83344"/>
    <w:rPr>
      <w:color w:val="0563C1" w:themeColor="hyperlink"/>
      <w:u w:val="single"/>
    </w:rPr>
  </w:style>
  <w:style w:type="paragraph" w:customStyle="1" w:styleId="Default">
    <w:name w:val="Default"/>
    <w:rsid w:val="00D07F74"/>
    <w:pPr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40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agol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gagol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gagold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daqbal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08D4-6179-4FBE-BA5B-723B9321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</dc:creator>
  <cp:keywords/>
  <dc:description/>
  <cp:lastModifiedBy>RJR</cp:lastModifiedBy>
  <cp:revision>3</cp:revision>
  <cp:lastPrinted>2021-02-25T08:45:00Z</cp:lastPrinted>
  <dcterms:created xsi:type="dcterms:W3CDTF">2021-03-11T08:07:00Z</dcterms:created>
  <dcterms:modified xsi:type="dcterms:W3CDTF">2021-03-11T08:10:00Z</dcterms:modified>
</cp:coreProperties>
</file>