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8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37"/>
      </w:tblGrid>
      <w:tr w:rsidR="004D1416" w:rsidRPr="00FF13A8" w14:paraId="55CB1778" w14:textId="76CBE46A" w:rsidTr="006F24B0">
        <w:trPr>
          <w:trHeight w:val="998"/>
          <w:jc w:val="center"/>
        </w:trPr>
        <w:tc>
          <w:tcPr>
            <w:tcW w:w="4436" w:type="dxa"/>
          </w:tcPr>
          <w:p w14:paraId="55CCA6B8" w14:textId="6EB00412" w:rsidR="004D1416" w:rsidRPr="00FF13A8" w:rsidRDefault="004D1416" w:rsidP="00084F8E">
            <w:pPr>
              <w:pStyle w:val="Title"/>
              <w:tabs>
                <w:tab w:val="left" w:pos="0"/>
              </w:tabs>
              <w:suppressAutoHyphens/>
              <w:rPr>
                <w:rFonts w:ascii="Verdana" w:hAnsi="Verdana"/>
                <w:sz w:val="20"/>
              </w:rPr>
            </w:pPr>
            <w:r w:rsidRPr="00FF13A8">
              <w:rPr>
                <w:rFonts w:ascii="Verdana" w:hAnsi="Verdana"/>
                <w:sz w:val="20"/>
              </w:rPr>
              <w:t xml:space="preserve">AS </w:t>
            </w:r>
            <w:r w:rsidRPr="00FF13A8">
              <w:rPr>
                <w:rFonts w:ascii="Verdana" w:hAnsi="Verdana"/>
                <w:bCs/>
                <w:sz w:val="20"/>
                <w:lang w:val="en-GB"/>
              </w:rPr>
              <w:t>“MADARA Cosmetics”</w:t>
            </w:r>
          </w:p>
          <w:p w14:paraId="2724D1C3" w14:textId="7E82A0F0" w:rsidR="004D1416" w:rsidRPr="00FF13A8" w:rsidRDefault="004D1416" w:rsidP="00084F8E">
            <w:pPr>
              <w:pStyle w:val="Title"/>
              <w:tabs>
                <w:tab w:val="left" w:pos="0"/>
              </w:tabs>
              <w:suppressAutoHyphens/>
              <w:rPr>
                <w:rFonts w:ascii="Verdana" w:hAnsi="Verdana"/>
                <w:b w:val="0"/>
                <w:spacing w:val="-2"/>
                <w:sz w:val="20"/>
              </w:rPr>
            </w:pPr>
            <w:r w:rsidRPr="00FF13A8">
              <w:rPr>
                <w:rFonts w:ascii="Verdana" w:hAnsi="Verdana"/>
                <w:b w:val="0"/>
                <w:sz w:val="20"/>
              </w:rPr>
              <w:t xml:space="preserve">Reģistrācijas numurs: </w:t>
            </w:r>
            <w:r w:rsidRPr="00FF13A8">
              <w:rPr>
                <w:rFonts w:ascii="Verdana" w:hAnsi="Verdana"/>
                <w:b w:val="0"/>
                <w:bCs/>
                <w:sz w:val="20"/>
                <w:lang w:val="en-GB"/>
              </w:rPr>
              <w:t>40003844254</w:t>
            </w:r>
          </w:p>
          <w:p w14:paraId="4A8FF56A" w14:textId="358C433E" w:rsidR="004D1416" w:rsidRPr="00FF13A8" w:rsidRDefault="004D1416" w:rsidP="00084F8E">
            <w:pPr>
              <w:pStyle w:val="Subtitle"/>
              <w:pBdr>
                <w:bottom w:val="single" w:sz="12" w:space="1" w:color="auto"/>
              </w:pBdr>
              <w:tabs>
                <w:tab w:val="center" w:pos="2286"/>
                <w:tab w:val="right" w:pos="4572"/>
              </w:tabs>
              <w:rPr>
                <w:rFonts w:ascii="Verdana" w:hAnsi="Verdana"/>
                <w:b w:val="0"/>
                <w:sz w:val="20"/>
                <w:lang w:val="lv-LV"/>
              </w:rPr>
            </w:pPr>
            <w:r w:rsidRPr="00FF13A8">
              <w:rPr>
                <w:rFonts w:ascii="Verdana" w:hAnsi="Verdana"/>
                <w:b w:val="0"/>
                <w:sz w:val="20"/>
                <w:lang w:val="lv-LV"/>
              </w:rPr>
              <w:t xml:space="preserve">Juridiskā adrese: </w:t>
            </w:r>
            <w:r w:rsidRPr="00FF13A8">
              <w:rPr>
                <w:rFonts w:ascii="Verdana" w:hAnsi="Verdana"/>
                <w:b w:val="0"/>
                <w:bCs/>
                <w:sz w:val="20"/>
                <w:lang w:val="lv-LV"/>
              </w:rPr>
              <w:t>Zeltiņu iela 131, Mārupes novads, Mārupe, LV-2167, Latvija</w:t>
            </w:r>
          </w:p>
          <w:p w14:paraId="0FC6B99B" w14:textId="77777777" w:rsidR="004D1416" w:rsidRPr="00FF13A8" w:rsidRDefault="004D1416" w:rsidP="00084F8E">
            <w:pPr>
              <w:keepNext/>
              <w:autoSpaceDE w:val="0"/>
              <w:autoSpaceDN w:val="0"/>
              <w:adjustRightInd w:val="0"/>
              <w:snapToGrid w:val="0"/>
              <w:jc w:val="center"/>
              <w:rPr>
                <w:rFonts w:eastAsia="Times New Roman" w:cs="Times New Roman"/>
                <w:b/>
                <w:bCs/>
                <w:caps/>
                <w:sz w:val="20"/>
                <w:lang w:val="lv-LV" w:eastAsia="lv-LV"/>
              </w:rPr>
            </w:pPr>
          </w:p>
        </w:tc>
        <w:tc>
          <w:tcPr>
            <w:tcW w:w="4437" w:type="dxa"/>
          </w:tcPr>
          <w:p w14:paraId="1E48A0D2" w14:textId="77777777" w:rsidR="00875F85" w:rsidRPr="003F77C6" w:rsidRDefault="00875F85" w:rsidP="00875F85">
            <w:pPr>
              <w:pStyle w:val="Title"/>
              <w:tabs>
                <w:tab w:val="left" w:pos="0"/>
              </w:tabs>
              <w:suppressAutoHyphens/>
              <w:rPr>
                <w:rFonts w:ascii="Verdana" w:hAnsi="Verdana"/>
                <w:sz w:val="20"/>
                <w:lang w:val="en-GB"/>
              </w:rPr>
            </w:pPr>
            <w:r w:rsidRPr="003F77C6">
              <w:rPr>
                <w:rFonts w:ascii="Verdana" w:hAnsi="Verdana"/>
                <w:sz w:val="20"/>
                <w:lang w:val="en-GB"/>
              </w:rPr>
              <w:t xml:space="preserve">AS </w:t>
            </w:r>
            <w:r w:rsidRPr="003F77C6">
              <w:rPr>
                <w:rFonts w:ascii="Verdana" w:hAnsi="Verdana"/>
                <w:bCs/>
                <w:sz w:val="20"/>
                <w:lang w:val="en-GB"/>
              </w:rPr>
              <w:t>“MADARA Cosmetics”</w:t>
            </w:r>
          </w:p>
          <w:p w14:paraId="634E652A" w14:textId="37C3A8EC" w:rsidR="00875F85" w:rsidRPr="003F77C6" w:rsidRDefault="00AD242B" w:rsidP="00875F85">
            <w:pPr>
              <w:pStyle w:val="Title"/>
              <w:tabs>
                <w:tab w:val="left" w:pos="0"/>
              </w:tabs>
              <w:suppressAutoHyphens/>
              <w:rPr>
                <w:rFonts w:ascii="Verdana" w:hAnsi="Verdana"/>
                <w:b w:val="0"/>
                <w:spacing w:val="-2"/>
                <w:sz w:val="20"/>
                <w:lang w:val="en-GB"/>
              </w:rPr>
            </w:pPr>
            <w:r w:rsidRPr="003F77C6">
              <w:rPr>
                <w:rFonts w:ascii="Verdana" w:hAnsi="Verdana"/>
                <w:b w:val="0"/>
                <w:sz w:val="20"/>
                <w:lang w:val="en-GB"/>
              </w:rPr>
              <w:t>Registration</w:t>
            </w:r>
            <w:r w:rsidR="00875F85" w:rsidRPr="003F77C6">
              <w:rPr>
                <w:rFonts w:ascii="Verdana" w:hAnsi="Verdana"/>
                <w:b w:val="0"/>
                <w:sz w:val="20"/>
                <w:lang w:val="en-GB"/>
              </w:rPr>
              <w:t xml:space="preserve"> number: </w:t>
            </w:r>
            <w:r w:rsidR="00875F85" w:rsidRPr="003F77C6">
              <w:rPr>
                <w:rFonts w:ascii="Verdana" w:hAnsi="Verdana"/>
                <w:b w:val="0"/>
                <w:bCs/>
                <w:sz w:val="20"/>
                <w:lang w:val="en-GB"/>
              </w:rPr>
              <w:t>40003844254</w:t>
            </w:r>
          </w:p>
          <w:p w14:paraId="12E5E70F" w14:textId="77777777" w:rsidR="00D04D97" w:rsidRPr="003F77C6" w:rsidRDefault="00875F85" w:rsidP="00875F85">
            <w:pPr>
              <w:pStyle w:val="Subtitle"/>
              <w:pBdr>
                <w:bottom w:val="single" w:sz="12" w:space="1" w:color="auto"/>
              </w:pBdr>
              <w:tabs>
                <w:tab w:val="center" w:pos="2286"/>
                <w:tab w:val="right" w:pos="4572"/>
              </w:tabs>
              <w:rPr>
                <w:rFonts w:ascii="Verdana" w:hAnsi="Verdana"/>
                <w:b w:val="0"/>
                <w:bCs/>
                <w:sz w:val="20"/>
              </w:rPr>
            </w:pPr>
            <w:r w:rsidRPr="003F77C6">
              <w:rPr>
                <w:rFonts w:ascii="Verdana" w:hAnsi="Verdana"/>
                <w:b w:val="0"/>
                <w:sz w:val="20"/>
              </w:rPr>
              <w:t xml:space="preserve">Legal address: </w:t>
            </w:r>
            <w:r w:rsidRPr="003F77C6">
              <w:rPr>
                <w:rFonts w:ascii="Verdana" w:hAnsi="Verdana"/>
                <w:b w:val="0"/>
                <w:bCs/>
                <w:sz w:val="20"/>
              </w:rPr>
              <w:t>131</w:t>
            </w:r>
            <w:r w:rsidR="00D04D97" w:rsidRPr="003F77C6">
              <w:rPr>
                <w:rFonts w:ascii="Verdana" w:hAnsi="Verdana"/>
                <w:b w:val="0"/>
                <w:bCs/>
                <w:sz w:val="20"/>
              </w:rPr>
              <w:t xml:space="preserve"> </w:t>
            </w:r>
            <w:r w:rsidRPr="003F77C6">
              <w:rPr>
                <w:rFonts w:ascii="Verdana" w:hAnsi="Verdana"/>
                <w:b w:val="0"/>
                <w:bCs/>
                <w:sz w:val="20"/>
              </w:rPr>
              <w:t xml:space="preserve">Zeltiņu Street, Mārupe </w:t>
            </w:r>
            <w:r w:rsidR="00AD242B" w:rsidRPr="003F77C6">
              <w:rPr>
                <w:rFonts w:ascii="Verdana" w:hAnsi="Verdana"/>
                <w:b w:val="0"/>
                <w:bCs/>
                <w:sz w:val="20"/>
              </w:rPr>
              <w:t>district</w:t>
            </w:r>
            <w:r w:rsidRPr="003F77C6">
              <w:rPr>
                <w:rFonts w:ascii="Verdana" w:hAnsi="Verdana"/>
                <w:b w:val="0"/>
                <w:bCs/>
                <w:sz w:val="20"/>
              </w:rPr>
              <w:t xml:space="preserve">, Mārupe, LV-2167, </w:t>
            </w:r>
          </w:p>
          <w:p w14:paraId="518BE408" w14:textId="0C116896" w:rsidR="00875F85" w:rsidRPr="003F77C6" w:rsidRDefault="00875F85" w:rsidP="00875F85">
            <w:pPr>
              <w:pStyle w:val="Subtitle"/>
              <w:pBdr>
                <w:bottom w:val="single" w:sz="12" w:space="1" w:color="auto"/>
              </w:pBdr>
              <w:tabs>
                <w:tab w:val="center" w:pos="2286"/>
                <w:tab w:val="right" w:pos="4572"/>
              </w:tabs>
              <w:rPr>
                <w:rFonts w:ascii="Verdana" w:hAnsi="Verdana"/>
                <w:b w:val="0"/>
                <w:sz w:val="20"/>
              </w:rPr>
            </w:pPr>
            <w:r w:rsidRPr="003F77C6">
              <w:rPr>
                <w:rFonts w:ascii="Verdana" w:hAnsi="Verdana"/>
                <w:b w:val="0"/>
                <w:bCs/>
                <w:sz w:val="20"/>
              </w:rPr>
              <w:t>Latvia</w:t>
            </w:r>
          </w:p>
          <w:p w14:paraId="0706A807" w14:textId="77777777" w:rsidR="004D1416" w:rsidRPr="003F77C6" w:rsidRDefault="004D1416" w:rsidP="00084F8E">
            <w:pPr>
              <w:pStyle w:val="Title"/>
              <w:tabs>
                <w:tab w:val="left" w:pos="0"/>
              </w:tabs>
              <w:suppressAutoHyphens/>
              <w:rPr>
                <w:rFonts w:ascii="Verdana" w:hAnsi="Verdana"/>
                <w:sz w:val="20"/>
                <w:lang w:val="en-GB"/>
              </w:rPr>
            </w:pPr>
          </w:p>
        </w:tc>
      </w:tr>
      <w:tr w:rsidR="004D1416" w:rsidRPr="00FF13A8" w14:paraId="006FCC34" w14:textId="2568CF37" w:rsidTr="006F24B0">
        <w:trPr>
          <w:trHeight w:val="56"/>
          <w:jc w:val="center"/>
        </w:trPr>
        <w:tc>
          <w:tcPr>
            <w:tcW w:w="4436" w:type="dxa"/>
          </w:tcPr>
          <w:p w14:paraId="6B503E38" w14:textId="77777777" w:rsidR="004D1416" w:rsidRPr="00FF13A8" w:rsidRDefault="004D1416" w:rsidP="00570C40">
            <w:pPr>
              <w:pStyle w:val="Heading1"/>
              <w:outlineLvl w:val="0"/>
              <w:rPr>
                <w:rFonts w:ascii="Verdana" w:hAnsi="Verdana"/>
                <w:caps/>
                <w:sz w:val="20"/>
                <w:szCs w:val="20"/>
                <w14:shadow w14:blurRad="50800" w14:dist="38100" w14:dir="2700000" w14:sx="100000" w14:sy="100000" w14:kx="0" w14:ky="0" w14:algn="tl">
                  <w14:srgbClr w14:val="000000">
                    <w14:alpha w14:val="60000"/>
                  </w14:srgbClr>
                </w14:shadow>
              </w:rPr>
            </w:pPr>
            <w:r w:rsidRPr="00FF13A8">
              <w:rPr>
                <w:rFonts w:ascii="Verdana" w:hAnsi="Verdana"/>
                <w:caps/>
                <w:sz w:val="20"/>
                <w:szCs w:val="20"/>
                <w14:shadow w14:blurRad="50800" w14:dist="38100" w14:dir="2700000" w14:sx="100000" w14:sy="100000" w14:kx="0" w14:ky="0" w14:algn="tl">
                  <w14:srgbClr w14:val="000000">
                    <w14:alpha w14:val="60000"/>
                  </w14:srgbClr>
                </w14:shadow>
              </w:rPr>
              <w:t>pamatkapitāla nosacītās palielināšanas NOTEIKUMI</w:t>
            </w:r>
          </w:p>
        </w:tc>
        <w:tc>
          <w:tcPr>
            <w:tcW w:w="4437" w:type="dxa"/>
          </w:tcPr>
          <w:p w14:paraId="40E22D13" w14:textId="0FE66CDC" w:rsidR="004D1416" w:rsidRPr="003F77C6" w:rsidRDefault="002B6133" w:rsidP="00570C40">
            <w:pPr>
              <w:pStyle w:val="Heading1"/>
              <w:outlineLvl w:val="0"/>
              <w:rPr>
                <w:rFonts w:ascii="Verdana" w:hAnsi="Verdana"/>
                <w:caps/>
                <w:sz w:val="20"/>
                <w:szCs w:val="20"/>
                <w:lang w:val="en-GB"/>
                <w14:shadow w14:blurRad="50800" w14:dist="38100" w14:dir="2700000" w14:sx="100000" w14:sy="100000" w14:kx="0" w14:ky="0" w14:algn="tl">
                  <w14:srgbClr w14:val="000000">
                    <w14:alpha w14:val="60000"/>
                  </w14:srgbClr>
                </w14:shadow>
              </w:rPr>
            </w:pPr>
            <w:r w:rsidRPr="003F77C6">
              <w:rPr>
                <w:rFonts w:ascii="Verdana" w:hAnsi="Verdana"/>
                <w:caps/>
                <w:sz w:val="20"/>
                <w:szCs w:val="20"/>
                <w:lang w:val="en-GB"/>
                <w14:shadow w14:blurRad="50800" w14:dist="38100" w14:dir="2700000" w14:sx="100000" w14:sy="100000" w14:kx="0" w14:ky="0" w14:algn="tl">
                  <w14:srgbClr w14:val="000000">
                    <w14:alpha w14:val="60000"/>
                  </w14:srgbClr>
                </w14:shadow>
              </w:rPr>
              <w:t xml:space="preserve">CONDITIONAL </w:t>
            </w:r>
            <w:r w:rsidR="001D31A3" w:rsidRPr="003F77C6">
              <w:rPr>
                <w:rFonts w:ascii="Verdana" w:hAnsi="Verdana"/>
                <w:caps/>
                <w:sz w:val="20"/>
                <w:szCs w:val="20"/>
                <w:lang w:val="en-GB"/>
                <w14:shadow w14:blurRad="50800" w14:dist="38100" w14:dir="2700000" w14:sx="100000" w14:sy="100000" w14:kx="0" w14:ky="0" w14:algn="tl">
                  <w14:srgbClr w14:val="000000">
                    <w14:alpha w14:val="60000"/>
                  </w14:srgbClr>
                </w14:shadow>
              </w:rPr>
              <w:t>SHARE CAPITAL INCREASE TERMS</w:t>
            </w:r>
          </w:p>
        </w:tc>
      </w:tr>
      <w:tr w:rsidR="004D1416" w:rsidRPr="00FF13A8" w14:paraId="12F14AD3" w14:textId="3FE7FF4E" w:rsidTr="006F24B0">
        <w:trPr>
          <w:trHeight w:val="56"/>
          <w:jc w:val="center"/>
        </w:trPr>
        <w:tc>
          <w:tcPr>
            <w:tcW w:w="4436" w:type="dxa"/>
          </w:tcPr>
          <w:p w14:paraId="5BF9A30F" w14:textId="77777777" w:rsidR="004D1416" w:rsidRPr="00FF13A8" w:rsidRDefault="004D1416" w:rsidP="00570C40">
            <w:pPr>
              <w:pStyle w:val="Heading1"/>
              <w:outlineLvl w:val="0"/>
              <w:rPr>
                <w:rFonts w:ascii="Verdana" w:hAnsi="Verdana"/>
                <w:caps/>
                <w:sz w:val="20"/>
                <w:szCs w:val="20"/>
                <w14:shadow w14:blurRad="50800" w14:dist="38100" w14:dir="2700000" w14:sx="100000" w14:sy="100000" w14:kx="0" w14:ky="0" w14:algn="tl">
                  <w14:srgbClr w14:val="000000">
                    <w14:alpha w14:val="60000"/>
                  </w14:srgbClr>
                </w14:shadow>
              </w:rPr>
            </w:pPr>
          </w:p>
        </w:tc>
        <w:tc>
          <w:tcPr>
            <w:tcW w:w="4437" w:type="dxa"/>
          </w:tcPr>
          <w:p w14:paraId="423A1F2A" w14:textId="77777777" w:rsidR="004D1416" w:rsidRPr="003F77C6" w:rsidRDefault="004D1416" w:rsidP="00570C40">
            <w:pPr>
              <w:pStyle w:val="Heading1"/>
              <w:outlineLvl w:val="0"/>
              <w:rPr>
                <w:rFonts w:ascii="Verdana" w:hAnsi="Verdana"/>
                <w:caps/>
                <w:sz w:val="20"/>
                <w:szCs w:val="20"/>
                <w:lang w:val="en-GB"/>
                <w14:shadow w14:blurRad="50800" w14:dist="38100" w14:dir="2700000" w14:sx="100000" w14:sy="100000" w14:kx="0" w14:ky="0" w14:algn="tl">
                  <w14:srgbClr w14:val="000000">
                    <w14:alpha w14:val="60000"/>
                  </w14:srgbClr>
                </w14:shadow>
              </w:rPr>
            </w:pPr>
          </w:p>
        </w:tc>
      </w:tr>
      <w:tr w:rsidR="004D1416" w:rsidRPr="00FF13A8" w14:paraId="466CD32C" w14:textId="4ACA6134" w:rsidTr="006F24B0">
        <w:trPr>
          <w:trHeight w:val="158"/>
          <w:jc w:val="center"/>
        </w:trPr>
        <w:tc>
          <w:tcPr>
            <w:tcW w:w="4436" w:type="dxa"/>
          </w:tcPr>
          <w:p w14:paraId="4DD02D75" w14:textId="77777777" w:rsidR="004D1416" w:rsidRPr="00FF13A8" w:rsidRDefault="004D1416" w:rsidP="00C25C5D">
            <w:pPr>
              <w:numPr>
                <w:ilvl w:val="0"/>
                <w:numId w:val="1"/>
              </w:numPr>
              <w:autoSpaceDE w:val="0"/>
              <w:autoSpaceDN w:val="0"/>
              <w:adjustRightInd w:val="0"/>
              <w:snapToGrid w:val="0"/>
              <w:spacing w:line="280" w:lineRule="exact"/>
              <w:ind w:left="457"/>
              <w:jc w:val="center"/>
              <w:rPr>
                <w:rFonts w:eastAsia="Times New Roman" w:cs="Times New Roman"/>
                <w:sz w:val="20"/>
                <w:lang w:val="lv-LV" w:eastAsia="lv-LV"/>
              </w:rPr>
            </w:pPr>
            <w:r w:rsidRPr="00FF13A8">
              <w:rPr>
                <w:rFonts w:eastAsia="Times New Roman" w:cs="Times New Roman"/>
                <w:b/>
                <w:sz w:val="20"/>
                <w:lang w:val="lv-LV" w:eastAsia="lv-LV"/>
              </w:rPr>
              <w:t>PAMATKAPITĀLA NOSACĪTĀS PALIELINĀŠANAS MĒRĶIS</w:t>
            </w:r>
          </w:p>
        </w:tc>
        <w:tc>
          <w:tcPr>
            <w:tcW w:w="4437" w:type="dxa"/>
          </w:tcPr>
          <w:p w14:paraId="50FFE4A7" w14:textId="7F82E883" w:rsidR="004D1416" w:rsidRPr="003F77C6" w:rsidRDefault="00486BB8" w:rsidP="00244E54">
            <w:pPr>
              <w:numPr>
                <w:ilvl w:val="0"/>
                <w:numId w:val="7"/>
              </w:numPr>
              <w:autoSpaceDE w:val="0"/>
              <w:autoSpaceDN w:val="0"/>
              <w:adjustRightInd w:val="0"/>
              <w:snapToGrid w:val="0"/>
              <w:spacing w:line="280" w:lineRule="exact"/>
              <w:ind w:left="566"/>
              <w:jc w:val="center"/>
              <w:rPr>
                <w:rFonts w:eastAsia="Times New Roman" w:cs="Times New Roman"/>
                <w:b/>
                <w:sz w:val="20"/>
                <w:lang w:eastAsia="lv-LV"/>
              </w:rPr>
            </w:pPr>
            <w:r w:rsidRPr="003F77C6">
              <w:rPr>
                <w:rFonts w:eastAsia="Times New Roman" w:cs="Times New Roman"/>
                <w:b/>
                <w:sz w:val="20"/>
                <w:lang w:eastAsia="lv-LV"/>
              </w:rPr>
              <w:t>THE PURPOSE OF CONDITIONAL SHARE CAPITAL INCREASE</w:t>
            </w:r>
          </w:p>
        </w:tc>
      </w:tr>
      <w:tr w:rsidR="004D1416" w:rsidRPr="00FF13A8" w14:paraId="61A32632" w14:textId="03F3AF91" w:rsidTr="006F24B0">
        <w:trPr>
          <w:trHeight w:val="158"/>
          <w:jc w:val="center"/>
        </w:trPr>
        <w:tc>
          <w:tcPr>
            <w:tcW w:w="4436" w:type="dxa"/>
          </w:tcPr>
          <w:p w14:paraId="57EE0784" w14:textId="77777777" w:rsidR="004D1416" w:rsidRPr="00FF13A8" w:rsidRDefault="004D1416" w:rsidP="00570C40">
            <w:pPr>
              <w:autoSpaceDE w:val="0"/>
              <w:autoSpaceDN w:val="0"/>
              <w:adjustRightInd w:val="0"/>
              <w:snapToGrid w:val="0"/>
              <w:spacing w:line="280" w:lineRule="exact"/>
              <w:rPr>
                <w:rFonts w:eastAsia="Times New Roman" w:cs="Times New Roman"/>
                <w:b/>
                <w:sz w:val="20"/>
                <w:lang w:val="lv-LV" w:eastAsia="lv-LV"/>
              </w:rPr>
            </w:pPr>
          </w:p>
        </w:tc>
        <w:tc>
          <w:tcPr>
            <w:tcW w:w="4437" w:type="dxa"/>
          </w:tcPr>
          <w:p w14:paraId="36A2F96F" w14:textId="77777777" w:rsidR="004D1416" w:rsidRPr="003F77C6" w:rsidRDefault="004D1416" w:rsidP="00570C40">
            <w:pPr>
              <w:autoSpaceDE w:val="0"/>
              <w:autoSpaceDN w:val="0"/>
              <w:adjustRightInd w:val="0"/>
              <w:snapToGrid w:val="0"/>
              <w:spacing w:line="280" w:lineRule="exact"/>
              <w:rPr>
                <w:rFonts w:eastAsia="Times New Roman" w:cs="Times New Roman"/>
                <w:b/>
                <w:sz w:val="20"/>
                <w:lang w:eastAsia="lv-LV"/>
              </w:rPr>
            </w:pPr>
          </w:p>
        </w:tc>
      </w:tr>
      <w:tr w:rsidR="004D1416" w:rsidRPr="00FF13A8" w14:paraId="714530E1" w14:textId="2547F42A" w:rsidTr="006F24B0">
        <w:trPr>
          <w:trHeight w:val="158"/>
          <w:jc w:val="center"/>
        </w:trPr>
        <w:tc>
          <w:tcPr>
            <w:tcW w:w="4436" w:type="dxa"/>
          </w:tcPr>
          <w:p w14:paraId="4AFD44CC" w14:textId="3243EA29" w:rsidR="004D1416" w:rsidRPr="00FF13A8" w:rsidRDefault="004D1416" w:rsidP="004D1416">
            <w:pPr>
              <w:numPr>
                <w:ilvl w:val="1"/>
                <w:numId w:val="7"/>
              </w:numPr>
              <w:autoSpaceDE w:val="0"/>
              <w:autoSpaceDN w:val="0"/>
              <w:adjustRightInd w:val="0"/>
              <w:snapToGrid w:val="0"/>
              <w:spacing w:after="120" w:line="259" w:lineRule="auto"/>
              <w:ind w:left="777"/>
              <w:jc w:val="both"/>
              <w:rPr>
                <w:rFonts w:eastAsia="Times New Roman" w:cs="Times New Roman"/>
                <w:b/>
                <w:sz w:val="20"/>
                <w:lang w:val="lv-LV" w:eastAsia="lv-LV"/>
              </w:rPr>
            </w:pPr>
            <w:r w:rsidRPr="00FF13A8">
              <w:rPr>
                <w:rFonts w:eastAsia="Times New Roman" w:cs="Times New Roman"/>
                <w:b/>
                <w:bCs/>
                <w:sz w:val="20"/>
                <w:lang w:val="lv-LV" w:eastAsia="lv-LV"/>
              </w:rPr>
              <w:t xml:space="preserve">AS “MADARA Cosmetics”, </w:t>
            </w:r>
            <w:r w:rsidRPr="00FF13A8">
              <w:rPr>
                <w:rFonts w:eastAsia="Times New Roman" w:cs="Times New Roman"/>
                <w:bCs/>
                <w:sz w:val="20"/>
                <w:lang w:val="lv-LV" w:eastAsia="lv-LV"/>
              </w:rPr>
              <w:t>reģistrācijas numurs 40003844254, juridiskā adrese Zeltiņu iela 131, Mārupes novads, Mārupe, LV-2167, Latvija</w:t>
            </w:r>
            <w:r w:rsidRPr="00FF13A8">
              <w:rPr>
                <w:rFonts w:eastAsia="Times New Roman" w:cs="Times New Roman"/>
                <w:b/>
                <w:bCs/>
                <w:sz w:val="20"/>
                <w:lang w:val="lv-LV" w:eastAsia="lv-LV"/>
              </w:rPr>
              <w:t xml:space="preserve"> </w:t>
            </w:r>
            <w:r w:rsidRPr="00FF13A8">
              <w:rPr>
                <w:rFonts w:eastAsia="Times New Roman" w:cs="Times New Roman"/>
                <w:bCs/>
                <w:sz w:val="20"/>
                <w:lang w:val="lv-LV" w:eastAsia="lv-LV"/>
              </w:rPr>
              <w:t>(turpmāk – “</w:t>
            </w:r>
            <w:r w:rsidRPr="00FF13A8">
              <w:rPr>
                <w:rFonts w:eastAsia="Times New Roman" w:cs="Times New Roman"/>
                <w:b/>
                <w:bCs/>
                <w:sz w:val="20"/>
                <w:lang w:val="lv-LV" w:eastAsia="lv-LV"/>
              </w:rPr>
              <w:t>Sabiedrība</w:t>
            </w:r>
            <w:r w:rsidRPr="00FF13A8">
              <w:rPr>
                <w:rFonts w:eastAsia="Times New Roman" w:cs="Times New Roman"/>
                <w:bCs/>
                <w:sz w:val="20"/>
                <w:lang w:val="lv-LV" w:eastAsia="lv-LV"/>
              </w:rPr>
              <w:t>”) pamatkapitāls tiks palielināts ar nosacījumu (nosacītais pamatkapitāls), Sabiedrības valdei emitējot jaunās emisijas akcijas šajos noteikumos un Latvijas Republikas Komerclikumā paredzētajā kārtībā.</w:t>
            </w:r>
          </w:p>
        </w:tc>
        <w:tc>
          <w:tcPr>
            <w:tcW w:w="4437" w:type="dxa"/>
          </w:tcPr>
          <w:p w14:paraId="546EA4C1" w14:textId="53B8DDAD" w:rsidR="004D1416" w:rsidRPr="003F77C6" w:rsidRDefault="005957DF" w:rsidP="004D1416">
            <w:pPr>
              <w:numPr>
                <w:ilvl w:val="1"/>
                <w:numId w:val="8"/>
              </w:numPr>
              <w:autoSpaceDE w:val="0"/>
              <w:autoSpaceDN w:val="0"/>
              <w:adjustRightInd w:val="0"/>
              <w:snapToGrid w:val="0"/>
              <w:spacing w:after="120" w:line="259" w:lineRule="auto"/>
              <w:ind w:left="792"/>
              <w:jc w:val="both"/>
              <w:rPr>
                <w:rFonts w:eastAsia="Times New Roman" w:cs="Times New Roman"/>
                <w:b/>
                <w:bCs/>
                <w:sz w:val="20"/>
                <w:lang w:eastAsia="lv-LV"/>
              </w:rPr>
            </w:pPr>
            <w:r w:rsidRPr="003F77C6">
              <w:rPr>
                <w:rFonts w:eastAsia="Times New Roman" w:cs="Times New Roman"/>
                <w:bCs/>
                <w:sz w:val="20"/>
                <w:lang w:eastAsia="lv-LV"/>
              </w:rPr>
              <w:t xml:space="preserve">The share capital </w:t>
            </w:r>
            <w:r w:rsidR="00380B97" w:rsidRPr="003F77C6">
              <w:rPr>
                <w:rFonts w:eastAsia="Times New Roman" w:cs="Times New Roman"/>
                <w:bCs/>
                <w:sz w:val="20"/>
                <w:lang w:eastAsia="lv-LV"/>
              </w:rPr>
              <w:t xml:space="preserve">of </w:t>
            </w:r>
            <w:r w:rsidR="007E225D" w:rsidRPr="003F77C6">
              <w:rPr>
                <w:rFonts w:eastAsia="Times New Roman" w:cs="Times New Roman"/>
                <w:b/>
                <w:bCs/>
                <w:sz w:val="20"/>
                <w:lang w:eastAsia="lv-LV"/>
              </w:rPr>
              <w:t xml:space="preserve">AS “MADARA Cosmetics”, </w:t>
            </w:r>
            <w:r w:rsidR="007E225D" w:rsidRPr="003F77C6">
              <w:rPr>
                <w:rFonts w:eastAsia="Times New Roman" w:cs="Times New Roman"/>
                <w:bCs/>
                <w:sz w:val="20"/>
                <w:lang w:eastAsia="lv-LV"/>
              </w:rPr>
              <w:t xml:space="preserve">registration number </w:t>
            </w:r>
            <w:r w:rsidR="00D04D97" w:rsidRPr="003F77C6">
              <w:rPr>
                <w:rFonts w:eastAsia="Times New Roman" w:cs="Times New Roman"/>
                <w:bCs/>
                <w:sz w:val="20"/>
                <w:lang w:eastAsia="lv-LV"/>
              </w:rPr>
              <w:t>40003844254,</w:t>
            </w:r>
            <w:r w:rsidR="003F77C6" w:rsidRPr="003F77C6">
              <w:rPr>
                <w:rFonts w:eastAsia="Times New Roman" w:cs="Times New Roman"/>
                <w:bCs/>
                <w:sz w:val="20"/>
                <w:lang w:eastAsia="lv-LV"/>
              </w:rPr>
              <w:t xml:space="preserve"> legal address</w:t>
            </w:r>
            <w:r w:rsidR="00D04D97" w:rsidRPr="003F77C6">
              <w:rPr>
                <w:rFonts w:eastAsia="Times New Roman" w:cs="Times New Roman"/>
                <w:bCs/>
                <w:sz w:val="20"/>
                <w:lang w:eastAsia="lv-LV"/>
              </w:rPr>
              <w:t xml:space="preserve"> 131 Zeltiņu Street, Mārupe district, Mārupe, LV-2167, Latvia</w:t>
            </w:r>
            <w:r w:rsidR="005B49AC" w:rsidRPr="003F77C6">
              <w:rPr>
                <w:rFonts w:eastAsia="Times New Roman" w:cs="Times New Roman"/>
                <w:bCs/>
                <w:sz w:val="20"/>
                <w:lang w:eastAsia="lv-LV"/>
              </w:rPr>
              <w:t xml:space="preserve"> (hereinafter –</w:t>
            </w:r>
            <w:r w:rsidR="006C3B1E">
              <w:rPr>
                <w:rFonts w:eastAsia="Times New Roman" w:cs="Times New Roman"/>
                <w:bCs/>
                <w:sz w:val="20"/>
                <w:lang w:eastAsia="lv-LV"/>
              </w:rPr>
              <w:t xml:space="preserve"> the</w:t>
            </w:r>
            <w:r w:rsidR="005B49AC" w:rsidRPr="003F77C6">
              <w:rPr>
                <w:rFonts w:eastAsia="Times New Roman" w:cs="Times New Roman"/>
                <w:bCs/>
                <w:sz w:val="20"/>
                <w:lang w:eastAsia="lv-LV"/>
              </w:rPr>
              <w:t xml:space="preserve"> “</w:t>
            </w:r>
            <w:r w:rsidR="005B49AC" w:rsidRPr="003F77C6">
              <w:rPr>
                <w:b/>
                <w:sz w:val="20"/>
              </w:rPr>
              <w:t>Company</w:t>
            </w:r>
            <w:r w:rsidR="005B49AC" w:rsidRPr="003F77C6">
              <w:rPr>
                <w:rFonts w:eastAsia="Times New Roman" w:cs="Times New Roman"/>
                <w:bCs/>
                <w:sz w:val="20"/>
                <w:lang w:eastAsia="lv-LV"/>
              </w:rPr>
              <w:t>”)</w:t>
            </w:r>
            <w:r w:rsidR="00380B97" w:rsidRPr="003F77C6">
              <w:rPr>
                <w:rFonts w:eastAsia="Times New Roman" w:cs="Times New Roman"/>
                <w:bCs/>
                <w:sz w:val="20"/>
                <w:lang w:eastAsia="lv-LV"/>
              </w:rPr>
              <w:t xml:space="preserve"> shall be increased with a </w:t>
            </w:r>
            <w:r w:rsidR="00A43190" w:rsidRPr="003F77C6">
              <w:rPr>
                <w:rFonts w:eastAsia="Times New Roman" w:cs="Times New Roman"/>
                <w:bCs/>
                <w:sz w:val="20"/>
                <w:lang w:eastAsia="lv-LV"/>
              </w:rPr>
              <w:t>condition (conditional share capital)</w:t>
            </w:r>
            <w:r w:rsidR="000163A8" w:rsidRPr="003F77C6">
              <w:rPr>
                <w:rFonts w:eastAsia="Times New Roman" w:cs="Times New Roman"/>
                <w:bCs/>
                <w:sz w:val="20"/>
                <w:lang w:eastAsia="lv-LV"/>
              </w:rPr>
              <w:t>, by</w:t>
            </w:r>
            <w:r w:rsidR="00181F73">
              <w:rPr>
                <w:rFonts w:eastAsia="Times New Roman" w:cs="Times New Roman"/>
                <w:bCs/>
                <w:sz w:val="20"/>
                <w:lang w:eastAsia="lv-LV"/>
              </w:rPr>
              <w:t xml:space="preserve"> the Management Board of the Company</w:t>
            </w:r>
            <w:r w:rsidR="00FA1684">
              <w:rPr>
                <w:rFonts w:eastAsia="Times New Roman" w:cs="Times New Roman"/>
                <w:bCs/>
                <w:sz w:val="20"/>
                <w:lang w:eastAsia="lv-LV"/>
              </w:rPr>
              <w:t xml:space="preserve"> </w:t>
            </w:r>
            <w:r w:rsidR="000163A8" w:rsidRPr="003F77C6">
              <w:rPr>
                <w:rFonts w:eastAsia="Times New Roman" w:cs="Times New Roman"/>
                <w:bCs/>
                <w:sz w:val="20"/>
                <w:lang w:eastAsia="lv-LV"/>
              </w:rPr>
              <w:t>issuing</w:t>
            </w:r>
            <w:r w:rsidR="00133667" w:rsidRPr="003F77C6">
              <w:rPr>
                <w:rFonts w:eastAsia="Times New Roman" w:cs="Times New Roman"/>
                <w:bCs/>
                <w:sz w:val="20"/>
                <w:lang w:eastAsia="lv-LV"/>
              </w:rPr>
              <w:t xml:space="preserve"> </w:t>
            </w:r>
            <w:r w:rsidR="00DA5328">
              <w:rPr>
                <w:rFonts w:eastAsia="Times New Roman" w:cs="Times New Roman"/>
                <w:bCs/>
                <w:sz w:val="20"/>
                <w:lang w:eastAsia="lv-LV"/>
              </w:rPr>
              <w:t>new shares in accordance with the provisions of th</w:t>
            </w:r>
            <w:r w:rsidR="00B641D7">
              <w:rPr>
                <w:rFonts w:eastAsia="Times New Roman" w:cs="Times New Roman"/>
                <w:bCs/>
                <w:sz w:val="20"/>
                <w:lang w:eastAsia="lv-LV"/>
              </w:rPr>
              <w:t>ese terms and the Commercial Law of the Republic of Latvia.</w:t>
            </w:r>
          </w:p>
        </w:tc>
      </w:tr>
      <w:tr w:rsidR="004D1416" w:rsidRPr="00FF13A8" w14:paraId="49C428C4" w14:textId="77777777" w:rsidTr="006F24B0">
        <w:trPr>
          <w:trHeight w:val="158"/>
          <w:jc w:val="center"/>
        </w:trPr>
        <w:tc>
          <w:tcPr>
            <w:tcW w:w="4436" w:type="dxa"/>
          </w:tcPr>
          <w:p w14:paraId="6E56CD7B" w14:textId="6FC17C9D" w:rsidR="004D1416" w:rsidRPr="00FF13A8" w:rsidRDefault="004D1416" w:rsidP="004D1416">
            <w:pPr>
              <w:numPr>
                <w:ilvl w:val="1"/>
                <w:numId w:val="7"/>
              </w:numPr>
              <w:autoSpaceDE w:val="0"/>
              <w:autoSpaceDN w:val="0"/>
              <w:adjustRightInd w:val="0"/>
              <w:snapToGrid w:val="0"/>
              <w:spacing w:after="120" w:line="259" w:lineRule="auto"/>
              <w:ind w:left="777"/>
              <w:jc w:val="both"/>
              <w:rPr>
                <w:rFonts w:eastAsia="Times New Roman" w:cs="Times New Roman"/>
                <w:b/>
                <w:bCs/>
                <w:sz w:val="20"/>
                <w:lang w:val="lv-LV" w:eastAsia="lv-LV"/>
              </w:rPr>
            </w:pPr>
            <w:r w:rsidRPr="00FF13A8">
              <w:rPr>
                <w:rFonts w:eastAsia="Times New Roman" w:cs="Times New Roman"/>
                <w:sz w:val="20"/>
                <w:lang w:val="lv-LV" w:eastAsia="lv-LV"/>
              </w:rPr>
              <w:t xml:space="preserve">Pamatkapitāla nosacītās palielināšanas mērķis ir personāla opciju izlaišana, kuras piešķirot Sabiedrības darbiniekiem un </w:t>
            </w:r>
            <w:r w:rsidR="00C04D93">
              <w:rPr>
                <w:rFonts w:eastAsia="Times New Roman" w:cs="Times New Roman"/>
                <w:sz w:val="20"/>
                <w:lang w:val="lv-LV" w:eastAsia="lv-LV"/>
              </w:rPr>
              <w:t>padomes</w:t>
            </w:r>
            <w:r w:rsidRPr="00FF13A8">
              <w:rPr>
                <w:rFonts w:eastAsia="Times New Roman" w:cs="Times New Roman"/>
                <w:sz w:val="20"/>
                <w:lang w:val="lv-LV" w:eastAsia="lv-LV"/>
              </w:rPr>
              <w:t xml:space="preserve"> locekļiem ir tiesības iegūt Sabiedrības jaunās emisijas akcijas šo pamatkapitāla nosacītās palielināšanas noteikumos paredzēto nosacījumu izpildes gadījumā (turpmāk – “</w:t>
            </w:r>
            <w:r w:rsidRPr="00FF13A8">
              <w:rPr>
                <w:rFonts w:eastAsia="Times New Roman" w:cs="Times New Roman"/>
                <w:b/>
                <w:sz w:val="20"/>
                <w:lang w:val="lv-LV" w:eastAsia="lv-LV"/>
              </w:rPr>
              <w:t>Noteikumi</w:t>
            </w:r>
            <w:r w:rsidRPr="00FF13A8">
              <w:rPr>
                <w:rFonts w:eastAsia="Times New Roman" w:cs="Times New Roman"/>
                <w:sz w:val="20"/>
                <w:lang w:val="lv-LV" w:eastAsia="lv-LV"/>
              </w:rPr>
              <w:t>”).</w:t>
            </w:r>
          </w:p>
        </w:tc>
        <w:tc>
          <w:tcPr>
            <w:tcW w:w="4437" w:type="dxa"/>
          </w:tcPr>
          <w:p w14:paraId="1315E378" w14:textId="0F60FF30" w:rsidR="004D1416" w:rsidRPr="003F77C6" w:rsidRDefault="001A10C6" w:rsidP="004D1416">
            <w:pPr>
              <w:numPr>
                <w:ilvl w:val="1"/>
                <w:numId w:val="8"/>
              </w:numPr>
              <w:autoSpaceDE w:val="0"/>
              <w:autoSpaceDN w:val="0"/>
              <w:adjustRightInd w:val="0"/>
              <w:snapToGrid w:val="0"/>
              <w:spacing w:after="120" w:line="259" w:lineRule="auto"/>
              <w:ind w:left="792"/>
              <w:jc w:val="both"/>
              <w:rPr>
                <w:rFonts w:eastAsia="Times New Roman" w:cs="Times New Roman"/>
                <w:b/>
                <w:bCs/>
                <w:sz w:val="20"/>
                <w:lang w:eastAsia="lv-LV"/>
              </w:rPr>
            </w:pPr>
            <w:r>
              <w:rPr>
                <w:rFonts w:eastAsia="Times New Roman" w:cs="Times New Roman"/>
                <w:bCs/>
                <w:sz w:val="20"/>
                <w:lang w:eastAsia="lv-LV"/>
              </w:rPr>
              <w:t xml:space="preserve">The purpose of the conditional share capital increase is the issuance of </w:t>
            </w:r>
            <w:r w:rsidR="0033164E">
              <w:rPr>
                <w:rFonts w:eastAsia="Times New Roman" w:cs="Times New Roman"/>
                <w:bCs/>
                <w:sz w:val="20"/>
                <w:lang w:eastAsia="lv-LV"/>
              </w:rPr>
              <w:t>personnel options</w:t>
            </w:r>
            <w:r w:rsidR="00C15847">
              <w:rPr>
                <w:rFonts w:eastAsia="Times New Roman" w:cs="Times New Roman"/>
                <w:bCs/>
                <w:sz w:val="20"/>
                <w:lang w:eastAsia="lv-LV"/>
              </w:rPr>
              <w:t>, which</w:t>
            </w:r>
            <w:r w:rsidR="009B2830">
              <w:rPr>
                <w:rFonts w:eastAsia="Times New Roman" w:cs="Times New Roman"/>
                <w:bCs/>
                <w:sz w:val="20"/>
                <w:lang w:eastAsia="lv-LV"/>
              </w:rPr>
              <w:t>,</w:t>
            </w:r>
            <w:r w:rsidR="00C15847">
              <w:rPr>
                <w:rFonts w:eastAsia="Times New Roman" w:cs="Times New Roman"/>
                <w:bCs/>
                <w:sz w:val="20"/>
                <w:lang w:eastAsia="lv-LV"/>
              </w:rPr>
              <w:t xml:space="preserve"> granted to the</w:t>
            </w:r>
            <w:r w:rsidR="009A416F">
              <w:rPr>
                <w:rFonts w:eastAsia="Times New Roman" w:cs="Times New Roman"/>
                <w:bCs/>
                <w:sz w:val="20"/>
                <w:lang w:eastAsia="lv-LV"/>
              </w:rPr>
              <w:t xml:space="preserve"> Company’s</w:t>
            </w:r>
            <w:r w:rsidR="00C15847">
              <w:rPr>
                <w:rFonts w:eastAsia="Times New Roman" w:cs="Times New Roman"/>
                <w:bCs/>
                <w:sz w:val="20"/>
                <w:lang w:eastAsia="lv-LV"/>
              </w:rPr>
              <w:t xml:space="preserve"> employees and Supervisory Board members</w:t>
            </w:r>
            <w:r w:rsidR="009B2830">
              <w:rPr>
                <w:rFonts w:eastAsia="Times New Roman" w:cs="Times New Roman"/>
                <w:bCs/>
                <w:sz w:val="20"/>
                <w:lang w:eastAsia="lv-LV"/>
              </w:rPr>
              <w:t>,</w:t>
            </w:r>
            <w:r w:rsidR="00C15847">
              <w:rPr>
                <w:rFonts w:eastAsia="Times New Roman" w:cs="Times New Roman"/>
                <w:bCs/>
                <w:sz w:val="20"/>
                <w:lang w:eastAsia="lv-LV"/>
              </w:rPr>
              <w:t xml:space="preserve"> </w:t>
            </w:r>
            <w:r w:rsidR="009B2830">
              <w:rPr>
                <w:rFonts w:eastAsia="Times New Roman" w:cs="Times New Roman"/>
                <w:bCs/>
                <w:sz w:val="20"/>
                <w:lang w:eastAsia="lv-LV"/>
              </w:rPr>
              <w:t xml:space="preserve">give the right to acquire the newly issued shares of the Company </w:t>
            </w:r>
            <w:r w:rsidR="008F74C7">
              <w:rPr>
                <w:rFonts w:eastAsia="Times New Roman" w:cs="Times New Roman"/>
                <w:bCs/>
                <w:sz w:val="20"/>
                <w:lang w:eastAsia="lv-LV"/>
              </w:rPr>
              <w:t xml:space="preserve">in case the conditions </w:t>
            </w:r>
            <w:r w:rsidR="00281DF6">
              <w:rPr>
                <w:rFonts w:eastAsia="Times New Roman" w:cs="Times New Roman"/>
                <w:bCs/>
                <w:sz w:val="20"/>
                <w:lang w:eastAsia="lv-LV"/>
              </w:rPr>
              <w:t>provided in</w:t>
            </w:r>
            <w:r w:rsidR="00C5010C">
              <w:rPr>
                <w:rFonts w:eastAsia="Times New Roman" w:cs="Times New Roman"/>
                <w:bCs/>
                <w:sz w:val="20"/>
                <w:lang w:eastAsia="lv-LV"/>
              </w:rPr>
              <w:t xml:space="preserve"> these</w:t>
            </w:r>
            <w:r w:rsidR="00281DF6">
              <w:rPr>
                <w:rFonts w:eastAsia="Times New Roman" w:cs="Times New Roman"/>
                <w:bCs/>
                <w:sz w:val="20"/>
                <w:lang w:eastAsia="lv-LV"/>
              </w:rPr>
              <w:t xml:space="preserve"> conditional share capital increase</w:t>
            </w:r>
            <w:r w:rsidR="00C5010C">
              <w:rPr>
                <w:rFonts w:eastAsia="Times New Roman" w:cs="Times New Roman"/>
                <w:bCs/>
                <w:sz w:val="20"/>
                <w:lang w:eastAsia="lv-LV"/>
              </w:rPr>
              <w:t xml:space="preserve"> terms are fulfilled (</w:t>
            </w:r>
            <w:r w:rsidR="00C5010C" w:rsidRPr="003F77C6">
              <w:rPr>
                <w:rFonts w:eastAsia="Times New Roman" w:cs="Times New Roman"/>
                <w:bCs/>
                <w:sz w:val="20"/>
                <w:lang w:eastAsia="lv-LV"/>
              </w:rPr>
              <w:t>hereinafter –</w:t>
            </w:r>
            <w:r w:rsidR="00C5010C">
              <w:rPr>
                <w:rFonts w:eastAsia="Times New Roman" w:cs="Times New Roman"/>
                <w:bCs/>
                <w:sz w:val="20"/>
                <w:lang w:eastAsia="lv-LV"/>
              </w:rPr>
              <w:t xml:space="preserve"> the</w:t>
            </w:r>
            <w:r w:rsidR="00C5010C" w:rsidRPr="003F77C6">
              <w:rPr>
                <w:rFonts w:eastAsia="Times New Roman" w:cs="Times New Roman"/>
                <w:bCs/>
                <w:sz w:val="20"/>
                <w:lang w:eastAsia="lv-LV"/>
              </w:rPr>
              <w:t xml:space="preserve"> “</w:t>
            </w:r>
            <w:r w:rsidR="00C5010C">
              <w:rPr>
                <w:b/>
                <w:bCs/>
                <w:sz w:val="20"/>
              </w:rPr>
              <w:t>Terms</w:t>
            </w:r>
            <w:r w:rsidR="00C5010C" w:rsidRPr="003F77C6">
              <w:rPr>
                <w:rFonts w:eastAsia="Times New Roman" w:cs="Times New Roman"/>
                <w:bCs/>
                <w:sz w:val="20"/>
                <w:lang w:eastAsia="lv-LV"/>
              </w:rPr>
              <w:t>”)</w:t>
            </w:r>
            <w:r w:rsidR="00C5010C">
              <w:rPr>
                <w:rFonts w:eastAsia="Times New Roman" w:cs="Times New Roman"/>
                <w:bCs/>
                <w:sz w:val="20"/>
                <w:lang w:eastAsia="lv-LV"/>
              </w:rPr>
              <w:t>.</w:t>
            </w:r>
          </w:p>
        </w:tc>
      </w:tr>
      <w:tr w:rsidR="004D1416" w:rsidRPr="00FF13A8" w14:paraId="037C4A7B" w14:textId="3579BEBF" w:rsidTr="006F24B0">
        <w:trPr>
          <w:trHeight w:val="75"/>
          <w:jc w:val="center"/>
        </w:trPr>
        <w:tc>
          <w:tcPr>
            <w:tcW w:w="4436" w:type="dxa"/>
          </w:tcPr>
          <w:p w14:paraId="3024812C" w14:textId="77777777" w:rsidR="004D1416" w:rsidRPr="00FF13A8" w:rsidRDefault="004D1416" w:rsidP="007E3E01">
            <w:pPr>
              <w:autoSpaceDE w:val="0"/>
              <w:autoSpaceDN w:val="0"/>
              <w:adjustRightInd w:val="0"/>
              <w:snapToGrid w:val="0"/>
              <w:spacing w:line="259" w:lineRule="auto"/>
              <w:jc w:val="both"/>
              <w:rPr>
                <w:rFonts w:eastAsia="Times New Roman" w:cs="Times New Roman"/>
                <w:sz w:val="20"/>
                <w:lang w:val="lv-LV" w:eastAsia="lv-LV"/>
              </w:rPr>
            </w:pPr>
          </w:p>
        </w:tc>
        <w:tc>
          <w:tcPr>
            <w:tcW w:w="4437" w:type="dxa"/>
          </w:tcPr>
          <w:p w14:paraId="1A978526" w14:textId="77777777" w:rsidR="004D1416" w:rsidRPr="003F77C6" w:rsidRDefault="004D1416" w:rsidP="007E3E01">
            <w:pPr>
              <w:autoSpaceDE w:val="0"/>
              <w:autoSpaceDN w:val="0"/>
              <w:adjustRightInd w:val="0"/>
              <w:snapToGrid w:val="0"/>
              <w:spacing w:line="259" w:lineRule="auto"/>
              <w:jc w:val="both"/>
              <w:rPr>
                <w:rFonts w:eastAsia="Times New Roman" w:cs="Times New Roman"/>
                <w:sz w:val="20"/>
                <w:lang w:eastAsia="lv-LV"/>
              </w:rPr>
            </w:pPr>
          </w:p>
        </w:tc>
      </w:tr>
      <w:tr w:rsidR="004D1416" w:rsidRPr="00FF13A8" w14:paraId="4B1939E2" w14:textId="41DBBB87" w:rsidTr="006F24B0">
        <w:trPr>
          <w:trHeight w:val="158"/>
          <w:jc w:val="center"/>
        </w:trPr>
        <w:tc>
          <w:tcPr>
            <w:tcW w:w="4436" w:type="dxa"/>
          </w:tcPr>
          <w:p w14:paraId="52420DD3" w14:textId="77777777" w:rsidR="004D1416" w:rsidRPr="00FF13A8" w:rsidRDefault="004D1416" w:rsidP="00391B39">
            <w:pPr>
              <w:numPr>
                <w:ilvl w:val="0"/>
                <w:numId w:val="8"/>
              </w:numPr>
              <w:autoSpaceDE w:val="0"/>
              <w:autoSpaceDN w:val="0"/>
              <w:adjustRightInd w:val="0"/>
              <w:snapToGrid w:val="0"/>
              <w:spacing w:line="280" w:lineRule="exact"/>
              <w:ind w:left="457"/>
              <w:jc w:val="center"/>
              <w:rPr>
                <w:rFonts w:eastAsia="Times New Roman" w:cs="Times New Roman"/>
                <w:b/>
                <w:sz w:val="20"/>
                <w:lang w:val="lv-LV" w:eastAsia="lv-LV"/>
              </w:rPr>
            </w:pPr>
            <w:r w:rsidRPr="00FF13A8">
              <w:rPr>
                <w:rFonts w:eastAsia="Times New Roman" w:cs="Times New Roman"/>
                <w:b/>
                <w:sz w:val="20"/>
                <w:lang w:val="lv-LV" w:eastAsia="lv-LV"/>
              </w:rPr>
              <w:t xml:space="preserve">SABIEDRĪBAS ESOŠAIS PAMATKAPITĀLS (AKCIJU KATEGORIJA, SKAITS UN NOMINĀLVĒRTĪBA) </w:t>
            </w:r>
          </w:p>
        </w:tc>
        <w:tc>
          <w:tcPr>
            <w:tcW w:w="4437" w:type="dxa"/>
          </w:tcPr>
          <w:p w14:paraId="25B5F0C7" w14:textId="2E2232EA" w:rsidR="004D1416" w:rsidRPr="003F77C6" w:rsidRDefault="005B4382" w:rsidP="00A6309F">
            <w:pPr>
              <w:numPr>
                <w:ilvl w:val="0"/>
                <w:numId w:val="10"/>
              </w:numPr>
              <w:autoSpaceDE w:val="0"/>
              <w:autoSpaceDN w:val="0"/>
              <w:adjustRightInd w:val="0"/>
              <w:snapToGrid w:val="0"/>
              <w:spacing w:line="280" w:lineRule="exact"/>
              <w:jc w:val="center"/>
              <w:rPr>
                <w:rFonts w:eastAsia="Times New Roman" w:cs="Times New Roman"/>
                <w:b/>
                <w:sz w:val="20"/>
                <w:lang w:eastAsia="lv-LV"/>
              </w:rPr>
            </w:pPr>
            <w:r>
              <w:rPr>
                <w:rFonts w:eastAsia="Times New Roman" w:cs="Times New Roman"/>
                <w:b/>
                <w:sz w:val="20"/>
                <w:lang w:eastAsia="lv-LV"/>
              </w:rPr>
              <w:t>CURRENT SHARE CAPITAL OF THE COMPANY (CATEGORY OF SHARES, AMOUNT AND NOMINAL VALUE)</w:t>
            </w:r>
          </w:p>
        </w:tc>
      </w:tr>
      <w:tr w:rsidR="004D1416" w:rsidRPr="00FF13A8" w14:paraId="07F6C290" w14:textId="4FE2C7C0" w:rsidTr="006F24B0">
        <w:trPr>
          <w:trHeight w:val="158"/>
          <w:jc w:val="center"/>
        </w:trPr>
        <w:tc>
          <w:tcPr>
            <w:tcW w:w="4436" w:type="dxa"/>
          </w:tcPr>
          <w:p w14:paraId="21CE71F7" w14:textId="77777777" w:rsidR="004D1416" w:rsidRPr="00FF13A8" w:rsidRDefault="004D1416" w:rsidP="008F6702">
            <w:pPr>
              <w:autoSpaceDE w:val="0"/>
              <w:autoSpaceDN w:val="0"/>
              <w:adjustRightInd w:val="0"/>
              <w:snapToGrid w:val="0"/>
              <w:spacing w:line="280" w:lineRule="exact"/>
              <w:rPr>
                <w:rFonts w:eastAsia="Times New Roman" w:cs="Times New Roman"/>
                <w:b/>
                <w:sz w:val="20"/>
                <w:lang w:val="lv-LV" w:eastAsia="lv-LV"/>
              </w:rPr>
            </w:pPr>
          </w:p>
        </w:tc>
        <w:tc>
          <w:tcPr>
            <w:tcW w:w="4437" w:type="dxa"/>
          </w:tcPr>
          <w:p w14:paraId="4A15F933" w14:textId="77777777" w:rsidR="004D1416" w:rsidRPr="003F77C6" w:rsidRDefault="004D1416" w:rsidP="008F6702">
            <w:pPr>
              <w:autoSpaceDE w:val="0"/>
              <w:autoSpaceDN w:val="0"/>
              <w:adjustRightInd w:val="0"/>
              <w:snapToGrid w:val="0"/>
              <w:spacing w:line="280" w:lineRule="exact"/>
              <w:rPr>
                <w:rFonts w:eastAsia="Times New Roman" w:cs="Times New Roman"/>
                <w:b/>
                <w:sz w:val="20"/>
                <w:lang w:eastAsia="lv-LV"/>
              </w:rPr>
            </w:pPr>
          </w:p>
        </w:tc>
      </w:tr>
      <w:tr w:rsidR="004D1416" w:rsidRPr="00FF13A8" w14:paraId="37EDA1E5" w14:textId="4805FB4F" w:rsidTr="006F24B0">
        <w:trPr>
          <w:trHeight w:val="158"/>
          <w:jc w:val="center"/>
        </w:trPr>
        <w:tc>
          <w:tcPr>
            <w:tcW w:w="4436" w:type="dxa"/>
          </w:tcPr>
          <w:p w14:paraId="2092B9C6" w14:textId="58E82C93" w:rsidR="004D1416" w:rsidRPr="00FF13A8" w:rsidRDefault="004D1416" w:rsidP="00A6309F">
            <w:pPr>
              <w:numPr>
                <w:ilvl w:val="1"/>
                <w:numId w:val="10"/>
              </w:numPr>
              <w:autoSpaceDE w:val="0"/>
              <w:autoSpaceDN w:val="0"/>
              <w:adjustRightInd w:val="0"/>
              <w:snapToGrid w:val="0"/>
              <w:spacing w:after="120" w:line="259" w:lineRule="auto"/>
              <w:ind w:left="777"/>
              <w:jc w:val="both"/>
              <w:rPr>
                <w:rFonts w:eastAsia="Times New Roman" w:cs="Times New Roman"/>
                <w:b/>
                <w:bCs/>
                <w:sz w:val="20"/>
                <w:lang w:val="lv-LV" w:eastAsia="lv-LV"/>
              </w:rPr>
            </w:pPr>
            <w:r w:rsidRPr="00FF13A8">
              <w:rPr>
                <w:rFonts w:eastAsia="Times New Roman" w:cs="Times New Roman"/>
                <w:bCs/>
                <w:sz w:val="20"/>
                <w:lang w:val="lv-LV" w:eastAsia="lv-LV"/>
              </w:rPr>
              <w:t xml:space="preserve">Sabiedrības pamatkapitāls šo Noteikumu apstiprināšanas brīdī ir </w:t>
            </w:r>
            <w:r w:rsidRPr="00FF13A8">
              <w:rPr>
                <w:rFonts w:eastAsia="Times New Roman" w:cs="Times New Roman"/>
                <w:bCs/>
                <w:sz w:val="20"/>
                <w:lang w:eastAsia="lv-LV"/>
              </w:rPr>
              <w:t>374 524,20 </w:t>
            </w:r>
            <w:r w:rsidRPr="00FF13A8">
              <w:rPr>
                <w:rFonts w:eastAsia="Times New Roman" w:cs="Times New Roman"/>
                <w:bCs/>
                <w:sz w:val="20"/>
                <w:lang w:val="lv-LV" w:eastAsia="lv-LV"/>
              </w:rPr>
              <w:t xml:space="preserve">EUR (trīs simti septiņdesmit četri tūkstoši pieci simti divdesmit četri </w:t>
            </w:r>
            <w:r w:rsidRPr="00FF13A8">
              <w:rPr>
                <w:rFonts w:eastAsia="Times New Roman" w:cs="Times New Roman"/>
                <w:bCs/>
                <w:i/>
                <w:sz w:val="20"/>
                <w:lang w:val="lv-LV" w:eastAsia="lv-LV"/>
              </w:rPr>
              <w:t>euro</w:t>
            </w:r>
            <w:r w:rsidRPr="00FF13A8">
              <w:rPr>
                <w:rFonts w:eastAsia="Times New Roman" w:cs="Times New Roman"/>
                <w:bCs/>
                <w:sz w:val="20"/>
                <w:lang w:val="lv-LV" w:eastAsia="lv-LV"/>
              </w:rPr>
              <w:t xml:space="preserve"> un divdesmit centi).</w:t>
            </w:r>
          </w:p>
        </w:tc>
        <w:tc>
          <w:tcPr>
            <w:tcW w:w="4437" w:type="dxa"/>
          </w:tcPr>
          <w:p w14:paraId="2886E11D" w14:textId="00E35983" w:rsidR="004D1416" w:rsidRPr="00531D01" w:rsidRDefault="00531D01" w:rsidP="00A6309F">
            <w:pPr>
              <w:numPr>
                <w:ilvl w:val="1"/>
                <w:numId w:val="11"/>
              </w:numPr>
              <w:autoSpaceDE w:val="0"/>
              <w:autoSpaceDN w:val="0"/>
              <w:adjustRightInd w:val="0"/>
              <w:snapToGrid w:val="0"/>
              <w:spacing w:after="120" w:line="259" w:lineRule="auto"/>
              <w:ind w:left="702"/>
              <w:jc w:val="both"/>
              <w:rPr>
                <w:rFonts w:eastAsia="Times New Roman" w:cs="Times New Roman"/>
                <w:bCs/>
                <w:sz w:val="20"/>
                <w:lang w:eastAsia="lv-LV"/>
              </w:rPr>
            </w:pPr>
            <w:r w:rsidRPr="00531D01">
              <w:rPr>
                <w:rFonts w:eastAsia="Times New Roman" w:cs="Times New Roman"/>
                <w:bCs/>
                <w:sz w:val="20"/>
                <w:lang w:eastAsia="lv-LV"/>
              </w:rPr>
              <w:t xml:space="preserve">On the date of approval of these Terms, the current share capital of the Company is EUR 374 524,20 (three hundred </w:t>
            </w:r>
            <w:r>
              <w:rPr>
                <w:rFonts w:eastAsia="Times New Roman" w:cs="Times New Roman"/>
                <w:bCs/>
                <w:sz w:val="20"/>
                <w:lang w:eastAsia="lv-LV"/>
              </w:rPr>
              <w:t xml:space="preserve">seventy-four thousand five hundred twenty-four euros and </w:t>
            </w:r>
            <w:r w:rsidR="002C1709">
              <w:rPr>
                <w:rFonts w:eastAsia="Times New Roman" w:cs="Times New Roman"/>
                <w:bCs/>
                <w:sz w:val="20"/>
                <w:lang w:eastAsia="lv-LV"/>
              </w:rPr>
              <w:t>twenty cents).</w:t>
            </w:r>
          </w:p>
        </w:tc>
      </w:tr>
      <w:tr w:rsidR="00B86C7B" w:rsidRPr="00FF13A8" w14:paraId="07056955" w14:textId="77777777" w:rsidTr="006F24B0">
        <w:trPr>
          <w:trHeight w:val="158"/>
          <w:jc w:val="center"/>
        </w:trPr>
        <w:tc>
          <w:tcPr>
            <w:tcW w:w="4436" w:type="dxa"/>
          </w:tcPr>
          <w:p w14:paraId="7652F62C" w14:textId="6672CD5F" w:rsidR="00B86C7B" w:rsidRPr="00FF13A8" w:rsidRDefault="00B86C7B" w:rsidP="00A6309F">
            <w:pPr>
              <w:numPr>
                <w:ilvl w:val="1"/>
                <w:numId w:val="10"/>
              </w:numPr>
              <w:autoSpaceDE w:val="0"/>
              <w:autoSpaceDN w:val="0"/>
              <w:adjustRightInd w:val="0"/>
              <w:snapToGrid w:val="0"/>
              <w:spacing w:after="120" w:line="259" w:lineRule="auto"/>
              <w:ind w:left="777"/>
              <w:jc w:val="both"/>
              <w:rPr>
                <w:rFonts w:eastAsia="Times New Roman" w:cs="Times New Roman"/>
                <w:bCs/>
                <w:sz w:val="20"/>
                <w:lang w:val="lv-LV" w:eastAsia="lv-LV"/>
              </w:rPr>
            </w:pPr>
            <w:r w:rsidRPr="00FF13A8">
              <w:rPr>
                <w:sz w:val="20"/>
                <w:lang w:val="lv-LV"/>
              </w:rPr>
              <w:t xml:space="preserve">Sabiedrības pamatkapitāls šo Noteikumu apstiprināšanas brīdī </w:t>
            </w:r>
            <w:r w:rsidRPr="00FF13A8">
              <w:rPr>
                <w:sz w:val="20"/>
                <w:lang w:val="lv-LV"/>
              </w:rPr>
              <w:lastRenderedPageBreak/>
              <w:t xml:space="preserve">sastāv no </w:t>
            </w:r>
            <w:r w:rsidRPr="00FF13A8">
              <w:rPr>
                <w:sz w:val="20"/>
              </w:rPr>
              <w:t>3 745 242</w:t>
            </w:r>
            <w:r w:rsidRPr="00FF13A8">
              <w:rPr>
                <w:sz w:val="20"/>
                <w:lang w:val="lv-LV"/>
              </w:rPr>
              <w:t xml:space="preserve"> (trīs miljoni septiņi simti četrdesmit pieci tūkstoši divi simti četrdesmit div</w:t>
            </w:r>
            <w:r w:rsidR="004422CE">
              <w:rPr>
                <w:sz w:val="20"/>
                <w:lang w:val="lv-LV"/>
              </w:rPr>
              <w:t>ām</w:t>
            </w:r>
            <w:r w:rsidRPr="00FF13A8">
              <w:rPr>
                <w:sz w:val="20"/>
                <w:lang w:val="lv-LV"/>
              </w:rPr>
              <w:t>) dematerializēt</w:t>
            </w:r>
            <w:r w:rsidR="004422CE">
              <w:rPr>
                <w:sz w:val="20"/>
                <w:lang w:val="lv-LV"/>
              </w:rPr>
              <w:t>ām</w:t>
            </w:r>
            <w:r w:rsidRPr="00FF13A8">
              <w:rPr>
                <w:sz w:val="20"/>
                <w:lang w:val="lv-LV"/>
              </w:rPr>
              <w:t xml:space="preserve"> uzrādītāja akcij</w:t>
            </w:r>
            <w:r w:rsidR="004422CE">
              <w:rPr>
                <w:sz w:val="20"/>
                <w:lang w:val="lv-LV"/>
              </w:rPr>
              <w:t>ām</w:t>
            </w:r>
            <w:r w:rsidRPr="00FF13A8">
              <w:rPr>
                <w:sz w:val="20"/>
                <w:lang w:val="lv-LV"/>
              </w:rPr>
              <w:t xml:space="preserve"> ar vienas akcijas nominālvērtību 0,10 EUR (desmit </w:t>
            </w:r>
            <w:r w:rsidR="00396712">
              <w:rPr>
                <w:i/>
                <w:iCs/>
                <w:sz w:val="20"/>
                <w:lang w:val="lv-LV"/>
              </w:rPr>
              <w:t xml:space="preserve">euro </w:t>
            </w:r>
            <w:r w:rsidRPr="00FF13A8">
              <w:rPr>
                <w:sz w:val="20"/>
                <w:lang w:val="lv-LV"/>
              </w:rPr>
              <w:t>centi). Visas akcijas ir vienas kategorijas.</w:t>
            </w:r>
          </w:p>
        </w:tc>
        <w:tc>
          <w:tcPr>
            <w:tcW w:w="4437" w:type="dxa"/>
          </w:tcPr>
          <w:p w14:paraId="67BADEE2" w14:textId="418A4820" w:rsidR="00B86C7B" w:rsidRPr="00531D01" w:rsidRDefault="00A845DF" w:rsidP="00A6309F">
            <w:pPr>
              <w:numPr>
                <w:ilvl w:val="1"/>
                <w:numId w:val="11"/>
              </w:numPr>
              <w:autoSpaceDE w:val="0"/>
              <w:autoSpaceDN w:val="0"/>
              <w:adjustRightInd w:val="0"/>
              <w:snapToGrid w:val="0"/>
              <w:spacing w:after="120" w:line="259" w:lineRule="auto"/>
              <w:ind w:left="702"/>
              <w:jc w:val="both"/>
              <w:rPr>
                <w:rFonts w:eastAsia="Times New Roman" w:cs="Times New Roman"/>
                <w:bCs/>
                <w:sz w:val="20"/>
                <w:lang w:eastAsia="lv-LV"/>
              </w:rPr>
            </w:pPr>
            <w:r w:rsidRPr="00531D01">
              <w:rPr>
                <w:rFonts w:eastAsia="Times New Roman" w:cs="Times New Roman"/>
                <w:bCs/>
                <w:sz w:val="20"/>
                <w:lang w:eastAsia="lv-LV"/>
              </w:rPr>
              <w:lastRenderedPageBreak/>
              <w:t xml:space="preserve">On the date of approval of these Terms, the current share capital of </w:t>
            </w:r>
            <w:r w:rsidRPr="00531D01">
              <w:rPr>
                <w:rFonts w:eastAsia="Times New Roman" w:cs="Times New Roman"/>
                <w:bCs/>
                <w:sz w:val="20"/>
                <w:lang w:eastAsia="lv-LV"/>
              </w:rPr>
              <w:lastRenderedPageBreak/>
              <w:t>the Company</w:t>
            </w:r>
            <w:r>
              <w:rPr>
                <w:rFonts w:eastAsia="Times New Roman" w:cs="Times New Roman"/>
                <w:bCs/>
                <w:sz w:val="20"/>
                <w:lang w:eastAsia="lv-LV"/>
              </w:rPr>
              <w:t xml:space="preserve"> consists of </w:t>
            </w:r>
            <w:r w:rsidRPr="00FF13A8">
              <w:rPr>
                <w:sz w:val="20"/>
              </w:rPr>
              <w:t>3 745</w:t>
            </w:r>
            <w:r>
              <w:rPr>
                <w:sz w:val="20"/>
              </w:rPr>
              <w:t> </w:t>
            </w:r>
            <w:r w:rsidRPr="00FF13A8">
              <w:rPr>
                <w:sz w:val="20"/>
              </w:rPr>
              <w:t>242</w:t>
            </w:r>
            <w:r>
              <w:rPr>
                <w:sz w:val="20"/>
              </w:rPr>
              <w:t xml:space="preserve"> (</w:t>
            </w:r>
            <w:r w:rsidR="00DC35E3">
              <w:rPr>
                <w:sz w:val="20"/>
              </w:rPr>
              <w:t>three million seven hundred forty-five thousand two hundred forty-two</w:t>
            </w:r>
            <w:r>
              <w:rPr>
                <w:sz w:val="20"/>
              </w:rPr>
              <w:t xml:space="preserve">) dematerialized bearer shares, with </w:t>
            </w:r>
            <w:r w:rsidR="006D1BD7">
              <w:rPr>
                <w:sz w:val="20"/>
              </w:rPr>
              <w:t xml:space="preserve">the </w:t>
            </w:r>
            <w:r w:rsidRPr="00A845DF">
              <w:rPr>
                <w:sz w:val="20"/>
              </w:rPr>
              <w:t xml:space="preserve">nominal </w:t>
            </w:r>
            <w:r w:rsidRPr="00A07B8A">
              <w:rPr>
                <w:sz w:val="20"/>
              </w:rPr>
              <w:t>value of each share EUR 0,10 </w:t>
            </w:r>
            <w:r w:rsidR="00A07B8A" w:rsidRPr="00A07B8A">
              <w:rPr>
                <w:sz w:val="20"/>
              </w:rPr>
              <w:t>(ten</w:t>
            </w:r>
            <w:r w:rsidR="00396712">
              <w:rPr>
                <w:i/>
                <w:iCs/>
                <w:sz w:val="20"/>
              </w:rPr>
              <w:t xml:space="preserve"> euro</w:t>
            </w:r>
            <w:r w:rsidR="00A07B8A" w:rsidRPr="00A07B8A">
              <w:rPr>
                <w:sz w:val="20"/>
              </w:rPr>
              <w:t xml:space="preserve"> cents)</w:t>
            </w:r>
            <w:r w:rsidR="00A07B8A">
              <w:rPr>
                <w:sz w:val="20"/>
              </w:rPr>
              <w:t xml:space="preserve">. </w:t>
            </w:r>
            <w:r w:rsidR="006D1BD7">
              <w:rPr>
                <w:sz w:val="20"/>
              </w:rPr>
              <w:t>All shares are one category shares.</w:t>
            </w:r>
          </w:p>
        </w:tc>
      </w:tr>
      <w:tr w:rsidR="00B86C7B" w:rsidRPr="00FF13A8" w14:paraId="497BACD3" w14:textId="77777777" w:rsidTr="006F24B0">
        <w:trPr>
          <w:trHeight w:val="158"/>
          <w:jc w:val="center"/>
        </w:trPr>
        <w:tc>
          <w:tcPr>
            <w:tcW w:w="4436" w:type="dxa"/>
          </w:tcPr>
          <w:p w14:paraId="5911E12A" w14:textId="0E897DFA" w:rsidR="00B86C7B" w:rsidRPr="00FF13A8" w:rsidRDefault="00B86C7B" w:rsidP="00A6309F">
            <w:pPr>
              <w:numPr>
                <w:ilvl w:val="1"/>
                <w:numId w:val="10"/>
              </w:numPr>
              <w:autoSpaceDE w:val="0"/>
              <w:autoSpaceDN w:val="0"/>
              <w:adjustRightInd w:val="0"/>
              <w:snapToGrid w:val="0"/>
              <w:spacing w:after="120" w:line="259" w:lineRule="auto"/>
              <w:ind w:left="777"/>
              <w:jc w:val="both"/>
              <w:rPr>
                <w:sz w:val="20"/>
                <w:lang w:val="lv-LV"/>
              </w:rPr>
            </w:pPr>
            <w:r w:rsidRPr="00FF13A8">
              <w:rPr>
                <w:sz w:val="20"/>
                <w:lang w:val="lv-LV"/>
              </w:rPr>
              <w:lastRenderedPageBreak/>
              <w:t>Sabiedrības pamatkapitāls šo Noteikumu apstiprināšanas brīdī ir parakstīts un apmaksāts pilnā apjomā.</w:t>
            </w:r>
          </w:p>
        </w:tc>
        <w:tc>
          <w:tcPr>
            <w:tcW w:w="4437" w:type="dxa"/>
          </w:tcPr>
          <w:p w14:paraId="1DF7E0E6" w14:textId="701AE461" w:rsidR="00B86C7B" w:rsidRPr="003F77C6" w:rsidRDefault="0027258B" w:rsidP="00A6309F">
            <w:pPr>
              <w:numPr>
                <w:ilvl w:val="1"/>
                <w:numId w:val="11"/>
              </w:numPr>
              <w:autoSpaceDE w:val="0"/>
              <w:autoSpaceDN w:val="0"/>
              <w:adjustRightInd w:val="0"/>
              <w:snapToGrid w:val="0"/>
              <w:spacing w:after="120" w:line="259" w:lineRule="auto"/>
              <w:ind w:left="702"/>
              <w:jc w:val="both"/>
              <w:rPr>
                <w:rFonts w:eastAsia="Times New Roman" w:cs="Times New Roman"/>
                <w:bCs/>
                <w:sz w:val="20"/>
                <w:lang w:eastAsia="lv-LV"/>
              </w:rPr>
            </w:pPr>
            <w:r w:rsidRPr="00531D01">
              <w:rPr>
                <w:rFonts w:eastAsia="Times New Roman" w:cs="Times New Roman"/>
                <w:bCs/>
                <w:sz w:val="20"/>
                <w:lang w:eastAsia="lv-LV"/>
              </w:rPr>
              <w:t>On the date of approval of these Terms, the current share capital of the Company</w:t>
            </w:r>
            <w:r>
              <w:rPr>
                <w:rFonts w:eastAsia="Times New Roman" w:cs="Times New Roman"/>
                <w:bCs/>
                <w:sz w:val="20"/>
                <w:lang w:eastAsia="lv-LV"/>
              </w:rPr>
              <w:t xml:space="preserve"> is fully subscribed for and paid-up.</w:t>
            </w:r>
          </w:p>
        </w:tc>
      </w:tr>
      <w:tr w:rsidR="004D1416" w:rsidRPr="00FF13A8" w14:paraId="2F3A2235" w14:textId="5891BCCC" w:rsidTr="006F24B0">
        <w:trPr>
          <w:trHeight w:val="158"/>
          <w:jc w:val="center"/>
        </w:trPr>
        <w:tc>
          <w:tcPr>
            <w:tcW w:w="4436" w:type="dxa"/>
          </w:tcPr>
          <w:p w14:paraId="4BE1C472" w14:textId="77777777" w:rsidR="004D1416" w:rsidRPr="00FF13A8" w:rsidRDefault="004D1416" w:rsidP="00815783">
            <w:pPr>
              <w:autoSpaceDE w:val="0"/>
              <w:autoSpaceDN w:val="0"/>
              <w:adjustRightInd w:val="0"/>
              <w:snapToGrid w:val="0"/>
              <w:spacing w:line="259" w:lineRule="auto"/>
              <w:jc w:val="both"/>
              <w:rPr>
                <w:sz w:val="20"/>
                <w:lang w:val="lv-LV"/>
              </w:rPr>
            </w:pPr>
          </w:p>
        </w:tc>
        <w:tc>
          <w:tcPr>
            <w:tcW w:w="4437" w:type="dxa"/>
          </w:tcPr>
          <w:p w14:paraId="6A04BFF7" w14:textId="77777777" w:rsidR="004D1416" w:rsidRPr="003F77C6" w:rsidRDefault="004D1416" w:rsidP="00815783">
            <w:pPr>
              <w:autoSpaceDE w:val="0"/>
              <w:autoSpaceDN w:val="0"/>
              <w:adjustRightInd w:val="0"/>
              <w:snapToGrid w:val="0"/>
              <w:spacing w:line="259" w:lineRule="auto"/>
              <w:jc w:val="both"/>
              <w:rPr>
                <w:sz w:val="20"/>
              </w:rPr>
            </w:pPr>
          </w:p>
        </w:tc>
      </w:tr>
      <w:tr w:rsidR="004D1416" w:rsidRPr="00FF13A8" w14:paraId="61266D70" w14:textId="5345491C" w:rsidTr="006F24B0">
        <w:trPr>
          <w:trHeight w:val="158"/>
          <w:jc w:val="center"/>
        </w:trPr>
        <w:tc>
          <w:tcPr>
            <w:tcW w:w="4436" w:type="dxa"/>
          </w:tcPr>
          <w:p w14:paraId="643F0818" w14:textId="77777777" w:rsidR="004D1416" w:rsidRPr="00FF13A8" w:rsidRDefault="004D1416" w:rsidP="00391B39">
            <w:pPr>
              <w:numPr>
                <w:ilvl w:val="0"/>
                <w:numId w:val="11"/>
              </w:numPr>
              <w:autoSpaceDE w:val="0"/>
              <w:autoSpaceDN w:val="0"/>
              <w:adjustRightInd w:val="0"/>
              <w:snapToGrid w:val="0"/>
              <w:spacing w:line="280" w:lineRule="exact"/>
              <w:ind w:left="457"/>
              <w:jc w:val="center"/>
              <w:rPr>
                <w:sz w:val="20"/>
                <w:lang w:val="lv-LV"/>
              </w:rPr>
            </w:pPr>
            <w:r w:rsidRPr="00FF13A8">
              <w:rPr>
                <w:b/>
                <w:sz w:val="20"/>
                <w:lang w:val="lv-LV"/>
              </w:rPr>
              <w:t xml:space="preserve">PAMATKAPITĀLA </w:t>
            </w:r>
            <w:r w:rsidRPr="00FF13A8">
              <w:rPr>
                <w:b/>
                <w:sz w:val="20"/>
              </w:rPr>
              <w:t xml:space="preserve">NOSACĪTA </w:t>
            </w:r>
            <w:r w:rsidRPr="00FF13A8">
              <w:rPr>
                <w:b/>
                <w:sz w:val="20"/>
                <w:lang w:val="lv-LV"/>
              </w:rPr>
              <w:t>PALIELINĀ</w:t>
            </w:r>
            <w:r w:rsidRPr="00FF13A8">
              <w:rPr>
                <w:b/>
                <w:sz w:val="20"/>
              </w:rPr>
              <w:t xml:space="preserve">ŠANA </w:t>
            </w:r>
          </w:p>
        </w:tc>
        <w:tc>
          <w:tcPr>
            <w:tcW w:w="4437" w:type="dxa"/>
          </w:tcPr>
          <w:p w14:paraId="2412A3F8" w14:textId="72B97BFB" w:rsidR="004D1416" w:rsidRPr="003F77C6" w:rsidRDefault="00810F6B" w:rsidP="00BA1AB4">
            <w:pPr>
              <w:numPr>
                <w:ilvl w:val="0"/>
                <w:numId w:val="12"/>
              </w:numPr>
              <w:autoSpaceDE w:val="0"/>
              <w:autoSpaceDN w:val="0"/>
              <w:adjustRightInd w:val="0"/>
              <w:snapToGrid w:val="0"/>
              <w:spacing w:line="280" w:lineRule="exact"/>
              <w:jc w:val="center"/>
              <w:rPr>
                <w:b/>
                <w:sz w:val="20"/>
              </w:rPr>
            </w:pPr>
            <w:r w:rsidRPr="003F77C6">
              <w:rPr>
                <w:rFonts w:eastAsia="Times New Roman" w:cs="Times New Roman"/>
                <w:b/>
                <w:sz w:val="20"/>
                <w:lang w:eastAsia="lv-LV"/>
              </w:rPr>
              <w:t>CONDITIONAL INCREASE</w:t>
            </w:r>
            <w:r>
              <w:rPr>
                <w:rFonts w:eastAsia="Times New Roman" w:cs="Times New Roman"/>
                <w:b/>
                <w:sz w:val="20"/>
                <w:lang w:eastAsia="lv-LV"/>
              </w:rPr>
              <w:t xml:space="preserve"> OF</w:t>
            </w:r>
            <w:r w:rsidRPr="003F77C6">
              <w:rPr>
                <w:rFonts w:eastAsia="Times New Roman" w:cs="Times New Roman"/>
                <w:b/>
                <w:sz w:val="20"/>
                <w:lang w:eastAsia="lv-LV"/>
              </w:rPr>
              <w:t xml:space="preserve"> SHARE CAPITAL </w:t>
            </w:r>
          </w:p>
        </w:tc>
      </w:tr>
      <w:tr w:rsidR="004D1416" w:rsidRPr="00FF13A8" w14:paraId="56CE7699" w14:textId="7A29310A" w:rsidTr="006F24B0">
        <w:trPr>
          <w:trHeight w:val="80"/>
          <w:jc w:val="center"/>
        </w:trPr>
        <w:tc>
          <w:tcPr>
            <w:tcW w:w="4436" w:type="dxa"/>
          </w:tcPr>
          <w:p w14:paraId="1A415109" w14:textId="77777777" w:rsidR="004D1416" w:rsidRPr="00FF13A8" w:rsidRDefault="004D1416" w:rsidP="00815783">
            <w:pPr>
              <w:autoSpaceDE w:val="0"/>
              <w:autoSpaceDN w:val="0"/>
              <w:adjustRightInd w:val="0"/>
              <w:snapToGrid w:val="0"/>
              <w:spacing w:line="259" w:lineRule="auto"/>
              <w:jc w:val="both"/>
              <w:rPr>
                <w:rFonts w:eastAsia="Times New Roman" w:cs="Times New Roman"/>
                <w:bCs/>
                <w:sz w:val="20"/>
                <w:lang w:val="lv-LV" w:eastAsia="lv-LV"/>
              </w:rPr>
            </w:pPr>
          </w:p>
        </w:tc>
        <w:tc>
          <w:tcPr>
            <w:tcW w:w="4437" w:type="dxa"/>
          </w:tcPr>
          <w:p w14:paraId="194B4592" w14:textId="77777777" w:rsidR="004D1416" w:rsidRPr="003F77C6" w:rsidRDefault="004D1416" w:rsidP="00815783">
            <w:pPr>
              <w:autoSpaceDE w:val="0"/>
              <w:autoSpaceDN w:val="0"/>
              <w:adjustRightInd w:val="0"/>
              <w:snapToGrid w:val="0"/>
              <w:spacing w:line="259" w:lineRule="auto"/>
              <w:jc w:val="both"/>
              <w:rPr>
                <w:rFonts w:eastAsia="Times New Roman" w:cs="Times New Roman"/>
                <w:bCs/>
                <w:sz w:val="20"/>
                <w:lang w:eastAsia="lv-LV"/>
              </w:rPr>
            </w:pPr>
          </w:p>
        </w:tc>
      </w:tr>
      <w:tr w:rsidR="004D1416" w:rsidRPr="00FF13A8" w14:paraId="66C7C76E" w14:textId="77B8AC1B" w:rsidTr="006F24B0">
        <w:trPr>
          <w:trHeight w:val="80"/>
          <w:jc w:val="center"/>
        </w:trPr>
        <w:tc>
          <w:tcPr>
            <w:tcW w:w="4436" w:type="dxa"/>
          </w:tcPr>
          <w:p w14:paraId="49A8AB7D" w14:textId="50243E3A" w:rsidR="004D1416" w:rsidRPr="00FF13A8" w:rsidRDefault="004D1416" w:rsidP="00BA1AB4">
            <w:pPr>
              <w:numPr>
                <w:ilvl w:val="1"/>
                <w:numId w:val="12"/>
              </w:numPr>
              <w:autoSpaceDE w:val="0"/>
              <w:autoSpaceDN w:val="0"/>
              <w:adjustRightInd w:val="0"/>
              <w:snapToGrid w:val="0"/>
              <w:spacing w:after="120" w:line="259" w:lineRule="auto"/>
              <w:ind w:left="777"/>
              <w:jc w:val="both"/>
              <w:rPr>
                <w:rFonts w:eastAsia="Times New Roman" w:cs="Times New Roman"/>
                <w:bCs/>
                <w:sz w:val="20"/>
                <w:lang w:val="lv-LV" w:eastAsia="lv-LV"/>
              </w:rPr>
            </w:pPr>
            <w:r w:rsidRPr="00FF13A8">
              <w:rPr>
                <w:rFonts w:eastAsia="Times New Roman" w:cs="Times New Roman"/>
                <w:bCs/>
                <w:sz w:val="20"/>
                <w:lang w:val="lv-LV" w:eastAsia="lv-LV"/>
              </w:rPr>
              <w:t xml:space="preserve">Sabiedrības pamatkapitāls tiek palielināts par summu </w:t>
            </w:r>
            <w:r w:rsidR="00D857F3">
              <w:rPr>
                <w:rFonts w:eastAsia="Times New Roman" w:cs="Times New Roman"/>
                <w:bCs/>
                <w:sz w:val="20"/>
                <w:lang w:val="lv-LV" w:eastAsia="lv-LV"/>
              </w:rPr>
              <w:t>1000</w:t>
            </w:r>
            <w:r w:rsidRPr="00FF13A8">
              <w:rPr>
                <w:rFonts w:eastAsia="Times New Roman" w:cs="Times New Roman"/>
                <w:bCs/>
                <w:sz w:val="20"/>
                <w:lang w:val="lv-LV" w:eastAsia="lv-LV"/>
              </w:rPr>
              <w:t xml:space="preserve"> EUR (</w:t>
            </w:r>
            <w:r w:rsidR="00D857F3">
              <w:rPr>
                <w:rFonts w:eastAsia="Times New Roman" w:cs="Times New Roman"/>
                <w:bCs/>
                <w:sz w:val="20"/>
                <w:lang w:val="lv-LV" w:eastAsia="lv-LV"/>
              </w:rPr>
              <w:t>viens tūkstotis</w:t>
            </w:r>
            <w:r w:rsidRPr="00FF13A8">
              <w:rPr>
                <w:rFonts w:eastAsia="Times New Roman" w:cs="Times New Roman"/>
                <w:bCs/>
                <w:sz w:val="20"/>
                <w:lang w:val="lv-LV" w:eastAsia="lv-LV"/>
              </w:rPr>
              <w:t xml:space="preserve"> </w:t>
            </w:r>
            <w:r w:rsidRPr="00FF13A8">
              <w:rPr>
                <w:rFonts w:eastAsia="Times New Roman" w:cs="Times New Roman"/>
                <w:bCs/>
                <w:i/>
                <w:sz w:val="20"/>
                <w:lang w:val="lv-LV" w:eastAsia="lv-LV"/>
              </w:rPr>
              <w:t>euro</w:t>
            </w:r>
            <w:r w:rsidRPr="00FF13A8">
              <w:rPr>
                <w:rFonts w:eastAsia="Times New Roman" w:cs="Times New Roman"/>
                <w:bCs/>
                <w:sz w:val="20"/>
                <w:lang w:val="lv-LV" w:eastAsia="lv-LV"/>
              </w:rPr>
              <w:t>) (nosacītais pamatkapitāls).</w:t>
            </w:r>
          </w:p>
        </w:tc>
        <w:tc>
          <w:tcPr>
            <w:tcW w:w="4437" w:type="dxa"/>
          </w:tcPr>
          <w:p w14:paraId="02AF7F40" w14:textId="0E8B1857" w:rsidR="004D1416" w:rsidRPr="003F77C6" w:rsidRDefault="00D170AA" w:rsidP="00BA1AB4">
            <w:pPr>
              <w:numPr>
                <w:ilvl w:val="1"/>
                <w:numId w:val="13"/>
              </w:numPr>
              <w:autoSpaceDE w:val="0"/>
              <w:autoSpaceDN w:val="0"/>
              <w:adjustRightInd w:val="0"/>
              <w:snapToGrid w:val="0"/>
              <w:spacing w:after="120" w:line="259" w:lineRule="auto"/>
              <w:ind w:left="702"/>
              <w:jc w:val="both"/>
              <w:rPr>
                <w:rFonts w:eastAsia="Times New Roman" w:cs="Times New Roman"/>
                <w:bCs/>
                <w:sz w:val="20"/>
                <w:lang w:eastAsia="lv-LV"/>
              </w:rPr>
            </w:pPr>
            <w:r>
              <w:rPr>
                <w:rFonts w:eastAsia="Times New Roman" w:cs="Times New Roman"/>
                <w:bCs/>
                <w:sz w:val="20"/>
                <w:lang w:eastAsia="lv-LV"/>
              </w:rPr>
              <w:t>The</w:t>
            </w:r>
            <w:r w:rsidRPr="00531D01">
              <w:rPr>
                <w:rFonts w:eastAsia="Times New Roman" w:cs="Times New Roman"/>
                <w:bCs/>
                <w:sz w:val="20"/>
                <w:lang w:eastAsia="lv-LV"/>
              </w:rPr>
              <w:t xml:space="preserve"> share capital of the Company</w:t>
            </w:r>
            <w:r>
              <w:rPr>
                <w:rFonts w:eastAsia="Times New Roman" w:cs="Times New Roman"/>
                <w:bCs/>
                <w:sz w:val="20"/>
                <w:lang w:eastAsia="lv-LV"/>
              </w:rPr>
              <w:t xml:space="preserve"> shall be increased in the amount of EUR </w:t>
            </w:r>
            <w:r w:rsidR="00D857F3">
              <w:rPr>
                <w:rFonts w:eastAsia="Times New Roman" w:cs="Times New Roman"/>
                <w:bCs/>
                <w:sz w:val="20"/>
                <w:lang w:val="lv-LV" w:eastAsia="lv-LV"/>
              </w:rPr>
              <w:t>1000</w:t>
            </w:r>
            <w:r>
              <w:rPr>
                <w:rFonts w:eastAsia="Times New Roman" w:cs="Times New Roman"/>
                <w:bCs/>
                <w:sz w:val="20"/>
                <w:lang w:eastAsia="lv-LV"/>
              </w:rPr>
              <w:t xml:space="preserve"> (</w:t>
            </w:r>
            <w:r w:rsidR="00D857F3">
              <w:rPr>
                <w:rFonts w:eastAsia="Times New Roman" w:cs="Times New Roman"/>
                <w:bCs/>
                <w:sz w:val="20"/>
                <w:lang w:eastAsia="lv-LV"/>
              </w:rPr>
              <w:t>one thousand</w:t>
            </w:r>
            <w:r>
              <w:rPr>
                <w:rFonts w:eastAsia="Times New Roman" w:cs="Times New Roman"/>
                <w:bCs/>
                <w:sz w:val="20"/>
                <w:lang w:eastAsia="lv-LV"/>
              </w:rPr>
              <w:t xml:space="preserve"> euros) (the conditional share capital).</w:t>
            </w:r>
          </w:p>
        </w:tc>
      </w:tr>
      <w:tr w:rsidR="00BA1AB4" w:rsidRPr="00FF13A8" w14:paraId="5844E57E" w14:textId="77777777" w:rsidTr="006F24B0">
        <w:trPr>
          <w:trHeight w:val="80"/>
          <w:jc w:val="center"/>
        </w:trPr>
        <w:tc>
          <w:tcPr>
            <w:tcW w:w="4436" w:type="dxa"/>
          </w:tcPr>
          <w:p w14:paraId="126537AA" w14:textId="489F1A7D" w:rsidR="00BA1AB4" w:rsidRPr="00FF13A8" w:rsidRDefault="00BA1AB4" w:rsidP="00BA1AB4">
            <w:pPr>
              <w:numPr>
                <w:ilvl w:val="1"/>
                <w:numId w:val="12"/>
              </w:numPr>
              <w:autoSpaceDE w:val="0"/>
              <w:autoSpaceDN w:val="0"/>
              <w:adjustRightInd w:val="0"/>
              <w:snapToGrid w:val="0"/>
              <w:spacing w:after="120" w:line="259" w:lineRule="auto"/>
              <w:ind w:left="777"/>
              <w:jc w:val="both"/>
              <w:rPr>
                <w:rFonts w:eastAsia="Times New Roman" w:cs="Times New Roman"/>
                <w:bCs/>
                <w:sz w:val="20"/>
                <w:lang w:val="lv-LV" w:eastAsia="lv-LV"/>
              </w:rPr>
            </w:pPr>
            <w:r w:rsidRPr="00FF13A8">
              <w:rPr>
                <w:rFonts w:eastAsia="Times New Roman" w:cs="Times New Roman"/>
                <w:bCs/>
                <w:sz w:val="20"/>
                <w:lang w:val="lv-LV" w:eastAsia="lv-LV"/>
              </w:rPr>
              <w:t>Pēc Sabiedrības pamatkapitāla palielināšanas ar nosacījumu tās nosacītā pamatkapitāla lielums (t.i., maksimālā summa, par kādu Valde varēs veikt faktisko Sabiedrības jauno akciju emisiju), būs </w:t>
            </w:r>
            <w:r w:rsidR="00A921F7">
              <w:rPr>
                <w:rFonts w:eastAsia="Times New Roman" w:cs="Times New Roman"/>
                <w:bCs/>
                <w:sz w:val="20"/>
                <w:lang w:val="lv-LV" w:eastAsia="lv-LV"/>
              </w:rPr>
              <w:t>1000</w:t>
            </w:r>
            <w:r w:rsidRPr="00FF13A8">
              <w:rPr>
                <w:rFonts w:eastAsia="Times New Roman" w:cs="Times New Roman"/>
                <w:bCs/>
                <w:sz w:val="20"/>
                <w:lang w:val="lv-LV" w:eastAsia="lv-LV"/>
              </w:rPr>
              <w:t xml:space="preserve"> EUR (</w:t>
            </w:r>
            <w:r w:rsidR="00A921F7">
              <w:rPr>
                <w:rFonts w:eastAsia="Times New Roman" w:cs="Times New Roman"/>
                <w:bCs/>
                <w:sz w:val="20"/>
                <w:lang w:val="lv-LV" w:eastAsia="lv-LV"/>
              </w:rPr>
              <w:t>viens tūkstotis</w:t>
            </w:r>
            <w:r w:rsidR="00D961AC">
              <w:rPr>
                <w:rFonts w:eastAsia="Times New Roman" w:cs="Times New Roman"/>
                <w:bCs/>
                <w:sz w:val="20"/>
                <w:lang w:val="lv-LV" w:eastAsia="lv-LV"/>
              </w:rPr>
              <w:t xml:space="preserve"> </w:t>
            </w:r>
            <w:r w:rsidRPr="00FF13A8">
              <w:rPr>
                <w:rFonts w:eastAsia="Times New Roman" w:cs="Times New Roman"/>
                <w:bCs/>
                <w:i/>
                <w:sz w:val="20"/>
                <w:lang w:val="lv-LV" w:eastAsia="lv-LV"/>
              </w:rPr>
              <w:t>euro</w:t>
            </w:r>
            <w:r w:rsidRPr="00FF13A8">
              <w:rPr>
                <w:rFonts w:eastAsia="Times New Roman" w:cs="Times New Roman"/>
                <w:bCs/>
                <w:sz w:val="20"/>
                <w:lang w:val="lv-LV" w:eastAsia="lv-LV"/>
              </w:rPr>
              <w:t>) apmērā.</w:t>
            </w:r>
          </w:p>
        </w:tc>
        <w:tc>
          <w:tcPr>
            <w:tcW w:w="4437" w:type="dxa"/>
          </w:tcPr>
          <w:p w14:paraId="501532A6" w14:textId="0989AD85" w:rsidR="00BA1AB4" w:rsidRPr="003F77C6" w:rsidRDefault="009730A8" w:rsidP="00BA1AB4">
            <w:pPr>
              <w:numPr>
                <w:ilvl w:val="1"/>
                <w:numId w:val="13"/>
              </w:numPr>
              <w:autoSpaceDE w:val="0"/>
              <w:autoSpaceDN w:val="0"/>
              <w:adjustRightInd w:val="0"/>
              <w:snapToGrid w:val="0"/>
              <w:spacing w:after="120" w:line="259" w:lineRule="auto"/>
              <w:ind w:left="702"/>
              <w:jc w:val="both"/>
              <w:rPr>
                <w:rFonts w:eastAsia="Times New Roman" w:cs="Times New Roman"/>
                <w:bCs/>
                <w:sz w:val="20"/>
                <w:lang w:eastAsia="lv-LV"/>
              </w:rPr>
            </w:pPr>
            <w:r>
              <w:rPr>
                <w:rFonts w:eastAsia="Times New Roman" w:cs="Times New Roman"/>
                <w:bCs/>
                <w:sz w:val="20"/>
                <w:lang w:eastAsia="lv-LV"/>
              </w:rPr>
              <w:t xml:space="preserve">After the conditional increase of the </w:t>
            </w:r>
            <w:r w:rsidRPr="00531D01">
              <w:rPr>
                <w:rFonts w:eastAsia="Times New Roman" w:cs="Times New Roman"/>
                <w:bCs/>
                <w:sz w:val="20"/>
                <w:lang w:eastAsia="lv-LV"/>
              </w:rPr>
              <w:t>share capital of the Company</w:t>
            </w:r>
            <w:r>
              <w:rPr>
                <w:rFonts w:eastAsia="Times New Roman" w:cs="Times New Roman"/>
                <w:bCs/>
                <w:sz w:val="20"/>
                <w:lang w:eastAsia="lv-LV"/>
              </w:rPr>
              <w:t xml:space="preserve">, its amount of conditional share capital (namely, the maximum amount </w:t>
            </w:r>
            <w:r w:rsidR="00FB15A5">
              <w:rPr>
                <w:rFonts w:eastAsia="Times New Roman" w:cs="Times New Roman"/>
                <w:bCs/>
                <w:sz w:val="20"/>
                <w:lang w:eastAsia="lv-LV"/>
              </w:rPr>
              <w:t xml:space="preserve">for which the Management Board will be able to </w:t>
            </w:r>
            <w:r w:rsidR="008F2F74">
              <w:rPr>
                <w:rFonts w:eastAsia="Times New Roman" w:cs="Times New Roman"/>
                <w:bCs/>
                <w:sz w:val="20"/>
                <w:lang w:eastAsia="lv-LV"/>
              </w:rPr>
              <w:t>perform the actual new share issue</w:t>
            </w:r>
            <w:r>
              <w:rPr>
                <w:rFonts w:eastAsia="Times New Roman" w:cs="Times New Roman"/>
                <w:bCs/>
                <w:sz w:val="20"/>
                <w:lang w:eastAsia="lv-LV"/>
              </w:rPr>
              <w:t xml:space="preserve">) shall be EUR </w:t>
            </w:r>
            <w:r w:rsidR="00A921F7">
              <w:rPr>
                <w:rFonts w:eastAsia="Times New Roman" w:cs="Times New Roman"/>
                <w:bCs/>
                <w:sz w:val="20"/>
                <w:lang w:val="lv-LV" w:eastAsia="lv-LV"/>
              </w:rPr>
              <w:t>1000</w:t>
            </w:r>
            <w:r>
              <w:rPr>
                <w:rFonts w:eastAsia="Times New Roman" w:cs="Times New Roman"/>
                <w:bCs/>
                <w:sz w:val="20"/>
                <w:lang w:eastAsia="lv-LV"/>
              </w:rPr>
              <w:t xml:space="preserve"> (</w:t>
            </w:r>
            <w:r w:rsidR="00A921F7">
              <w:rPr>
                <w:rFonts w:eastAsia="Times New Roman" w:cs="Times New Roman"/>
                <w:bCs/>
                <w:sz w:val="20"/>
                <w:lang w:eastAsia="lv-LV"/>
              </w:rPr>
              <w:t>one thousand</w:t>
            </w:r>
            <w:r w:rsidR="00D961AC">
              <w:rPr>
                <w:rFonts w:eastAsia="Times New Roman" w:cs="Times New Roman"/>
                <w:bCs/>
                <w:sz w:val="20"/>
                <w:lang w:val="lv-LV" w:eastAsia="lv-LV"/>
              </w:rPr>
              <w:t xml:space="preserve"> </w:t>
            </w:r>
            <w:r>
              <w:rPr>
                <w:rFonts w:eastAsia="Times New Roman" w:cs="Times New Roman"/>
                <w:bCs/>
                <w:sz w:val="20"/>
                <w:lang w:eastAsia="lv-LV"/>
              </w:rPr>
              <w:t>euros).</w:t>
            </w:r>
          </w:p>
        </w:tc>
      </w:tr>
      <w:tr w:rsidR="00BA1AB4" w:rsidRPr="00FF13A8" w14:paraId="527F90C9" w14:textId="77777777" w:rsidTr="006F24B0">
        <w:trPr>
          <w:trHeight w:val="1784"/>
          <w:jc w:val="center"/>
        </w:trPr>
        <w:tc>
          <w:tcPr>
            <w:tcW w:w="4436" w:type="dxa"/>
          </w:tcPr>
          <w:p w14:paraId="2B6EF5E7" w14:textId="0C73EEE3" w:rsidR="00BA1AB4" w:rsidRPr="00FF13A8" w:rsidRDefault="00BA1AB4" w:rsidP="00BA1AB4">
            <w:pPr>
              <w:numPr>
                <w:ilvl w:val="1"/>
                <w:numId w:val="12"/>
              </w:numPr>
              <w:autoSpaceDE w:val="0"/>
              <w:autoSpaceDN w:val="0"/>
              <w:adjustRightInd w:val="0"/>
              <w:snapToGrid w:val="0"/>
              <w:spacing w:after="120" w:line="259" w:lineRule="auto"/>
              <w:ind w:left="777"/>
              <w:jc w:val="both"/>
              <w:rPr>
                <w:rFonts w:eastAsia="Times New Roman" w:cs="Times New Roman"/>
                <w:bCs/>
                <w:sz w:val="20"/>
                <w:lang w:val="lv-LV" w:eastAsia="lv-LV"/>
              </w:rPr>
            </w:pPr>
            <w:r w:rsidRPr="00FF13A8">
              <w:rPr>
                <w:rFonts w:eastAsia="Times New Roman" w:cs="Times New Roman"/>
                <w:bCs/>
                <w:sz w:val="20"/>
                <w:lang w:val="lv-LV" w:eastAsia="lv-LV"/>
              </w:rPr>
              <w:t>Pēc Sabiedrības jaunās emisijas akciju faktiskās emisijas tās paredzēts iegrāmatot centrālā vērtspapīru depozitārija “Nasdaq CSD SE” uzskaites sistēmā.</w:t>
            </w:r>
          </w:p>
        </w:tc>
        <w:tc>
          <w:tcPr>
            <w:tcW w:w="4437" w:type="dxa"/>
          </w:tcPr>
          <w:p w14:paraId="5ADC5A43" w14:textId="6A03ABE3" w:rsidR="00BA1AB4" w:rsidRPr="003F77C6" w:rsidRDefault="006947C1" w:rsidP="00BA1AB4">
            <w:pPr>
              <w:numPr>
                <w:ilvl w:val="1"/>
                <w:numId w:val="13"/>
              </w:numPr>
              <w:autoSpaceDE w:val="0"/>
              <w:autoSpaceDN w:val="0"/>
              <w:adjustRightInd w:val="0"/>
              <w:snapToGrid w:val="0"/>
              <w:spacing w:after="120" w:line="259" w:lineRule="auto"/>
              <w:ind w:left="702"/>
              <w:jc w:val="both"/>
              <w:rPr>
                <w:rFonts w:eastAsia="Times New Roman" w:cs="Times New Roman"/>
                <w:bCs/>
                <w:sz w:val="20"/>
                <w:lang w:eastAsia="lv-LV"/>
              </w:rPr>
            </w:pPr>
            <w:r>
              <w:rPr>
                <w:rFonts w:eastAsia="Times New Roman" w:cs="Times New Roman"/>
                <w:bCs/>
                <w:sz w:val="20"/>
                <w:lang w:eastAsia="lv-LV"/>
              </w:rPr>
              <w:t>After the</w:t>
            </w:r>
            <w:r w:rsidR="000934BF">
              <w:rPr>
                <w:rFonts w:eastAsia="Times New Roman" w:cs="Times New Roman"/>
                <w:bCs/>
                <w:sz w:val="20"/>
                <w:lang w:eastAsia="lv-LV"/>
              </w:rPr>
              <w:t xml:space="preserve"> actual</w:t>
            </w:r>
            <w:r>
              <w:rPr>
                <w:rFonts w:eastAsia="Times New Roman" w:cs="Times New Roman"/>
                <w:bCs/>
                <w:sz w:val="20"/>
                <w:lang w:eastAsia="lv-LV"/>
              </w:rPr>
              <w:t xml:space="preserve"> issue of </w:t>
            </w:r>
            <w:r w:rsidR="000934BF">
              <w:rPr>
                <w:rFonts w:eastAsia="Times New Roman" w:cs="Times New Roman"/>
                <w:bCs/>
                <w:sz w:val="20"/>
                <w:lang w:eastAsia="lv-LV"/>
              </w:rPr>
              <w:t xml:space="preserve">the </w:t>
            </w:r>
            <w:r>
              <w:rPr>
                <w:rFonts w:eastAsia="Times New Roman" w:cs="Times New Roman"/>
                <w:bCs/>
                <w:sz w:val="20"/>
                <w:lang w:eastAsia="lv-LV"/>
              </w:rPr>
              <w:t xml:space="preserve">new shares </w:t>
            </w:r>
            <w:r w:rsidRPr="00531D01">
              <w:rPr>
                <w:rFonts w:eastAsia="Times New Roman" w:cs="Times New Roman"/>
                <w:bCs/>
                <w:sz w:val="20"/>
                <w:lang w:eastAsia="lv-LV"/>
              </w:rPr>
              <w:t>of the Company</w:t>
            </w:r>
            <w:r>
              <w:rPr>
                <w:rFonts w:eastAsia="Times New Roman" w:cs="Times New Roman"/>
                <w:bCs/>
                <w:sz w:val="20"/>
                <w:lang w:eastAsia="lv-LV"/>
              </w:rPr>
              <w:t>,</w:t>
            </w:r>
            <w:r w:rsidR="00C05345">
              <w:rPr>
                <w:rFonts w:eastAsia="Times New Roman" w:cs="Times New Roman"/>
                <w:bCs/>
                <w:sz w:val="20"/>
                <w:lang w:eastAsia="lv-LV"/>
              </w:rPr>
              <w:t xml:space="preserve"> </w:t>
            </w:r>
            <w:r w:rsidR="000934BF">
              <w:rPr>
                <w:rFonts w:eastAsia="Times New Roman" w:cs="Times New Roman"/>
                <w:bCs/>
                <w:sz w:val="20"/>
                <w:lang w:eastAsia="lv-LV"/>
              </w:rPr>
              <w:t xml:space="preserve">newly issued shares are intended to be registered with the system of the central securities depository </w:t>
            </w:r>
            <w:r w:rsidR="000934BF" w:rsidRPr="000934BF">
              <w:rPr>
                <w:rFonts w:eastAsia="Times New Roman" w:cs="Times New Roman"/>
                <w:bCs/>
                <w:sz w:val="20"/>
                <w:lang w:val="lv-LV" w:eastAsia="lv-LV"/>
              </w:rPr>
              <w:t>“Nasdaq CSD SE”</w:t>
            </w:r>
            <w:r w:rsidR="000934BF">
              <w:rPr>
                <w:rFonts w:eastAsia="Times New Roman" w:cs="Times New Roman"/>
                <w:bCs/>
                <w:sz w:val="20"/>
                <w:lang w:val="lv-LV" w:eastAsia="lv-LV"/>
              </w:rPr>
              <w:t>.</w:t>
            </w:r>
          </w:p>
        </w:tc>
      </w:tr>
      <w:tr w:rsidR="004D1416" w:rsidRPr="00FF13A8" w14:paraId="31C7CA0A" w14:textId="2BBF2AE7" w:rsidTr="006F24B0">
        <w:trPr>
          <w:trHeight w:val="80"/>
          <w:jc w:val="center"/>
        </w:trPr>
        <w:tc>
          <w:tcPr>
            <w:tcW w:w="4436" w:type="dxa"/>
          </w:tcPr>
          <w:p w14:paraId="565FBC4D" w14:textId="77777777" w:rsidR="004D1416" w:rsidRPr="00FF13A8" w:rsidRDefault="004D1416" w:rsidP="00ED49AB">
            <w:pPr>
              <w:autoSpaceDE w:val="0"/>
              <w:autoSpaceDN w:val="0"/>
              <w:adjustRightInd w:val="0"/>
              <w:snapToGrid w:val="0"/>
              <w:spacing w:line="259" w:lineRule="auto"/>
              <w:jc w:val="both"/>
              <w:rPr>
                <w:rFonts w:eastAsia="Times New Roman" w:cs="Times New Roman"/>
                <w:bCs/>
                <w:sz w:val="20"/>
                <w:lang w:val="lv-LV" w:eastAsia="lv-LV"/>
              </w:rPr>
            </w:pPr>
          </w:p>
        </w:tc>
        <w:tc>
          <w:tcPr>
            <w:tcW w:w="4437" w:type="dxa"/>
          </w:tcPr>
          <w:p w14:paraId="5FDDA287" w14:textId="77777777" w:rsidR="004D1416" w:rsidRPr="003F77C6" w:rsidRDefault="004D1416" w:rsidP="00ED49AB">
            <w:pPr>
              <w:autoSpaceDE w:val="0"/>
              <w:autoSpaceDN w:val="0"/>
              <w:adjustRightInd w:val="0"/>
              <w:snapToGrid w:val="0"/>
              <w:spacing w:line="259" w:lineRule="auto"/>
              <w:jc w:val="both"/>
              <w:rPr>
                <w:rFonts w:eastAsia="Times New Roman" w:cs="Times New Roman"/>
                <w:bCs/>
                <w:sz w:val="20"/>
                <w:lang w:eastAsia="lv-LV"/>
              </w:rPr>
            </w:pPr>
          </w:p>
        </w:tc>
      </w:tr>
      <w:tr w:rsidR="004D1416" w:rsidRPr="00FF13A8" w14:paraId="58DEECEB" w14:textId="54B1013D" w:rsidTr="006F24B0">
        <w:trPr>
          <w:trHeight w:val="80"/>
          <w:jc w:val="center"/>
        </w:trPr>
        <w:tc>
          <w:tcPr>
            <w:tcW w:w="4436" w:type="dxa"/>
          </w:tcPr>
          <w:p w14:paraId="589EA2F8" w14:textId="77777777" w:rsidR="004D1416" w:rsidRPr="00FF13A8" w:rsidRDefault="004D1416" w:rsidP="00391B39">
            <w:pPr>
              <w:numPr>
                <w:ilvl w:val="0"/>
                <w:numId w:val="13"/>
              </w:numPr>
              <w:autoSpaceDE w:val="0"/>
              <w:autoSpaceDN w:val="0"/>
              <w:adjustRightInd w:val="0"/>
              <w:snapToGrid w:val="0"/>
              <w:spacing w:line="280" w:lineRule="exact"/>
              <w:ind w:left="457"/>
              <w:jc w:val="center"/>
              <w:rPr>
                <w:b/>
                <w:sz w:val="20"/>
                <w:lang w:val="lv-LV"/>
              </w:rPr>
            </w:pPr>
            <w:r w:rsidRPr="00FF13A8">
              <w:rPr>
                <w:b/>
                <w:sz w:val="20"/>
              </w:rPr>
              <w:t>JAUNĀS</w:t>
            </w:r>
            <w:r w:rsidRPr="00FF13A8">
              <w:rPr>
                <w:b/>
                <w:sz w:val="20"/>
                <w:lang w:val="lv-LV"/>
              </w:rPr>
              <w:t xml:space="preserve"> EMISIJAS AKCIJU KATEGORIJA, SKAITS UN NO TĀM IZRIETOŠĀS TIESĪBAS</w:t>
            </w:r>
          </w:p>
        </w:tc>
        <w:tc>
          <w:tcPr>
            <w:tcW w:w="4437" w:type="dxa"/>
          </w:tcPr>
          <w:p w14:paraId="25896617" w14:textId="30058552" w:rsidR="004D1416" w:rsidRPr="003F77C6" w:rsidRDefault="00B17A57" w:rsidP="00A24F79">
            <w:pPr>
              <w:numPr>
                <w:ilvl w:val="0"/>
                <w:numId w:val="15"/>
              </w:numPr>
              <w:autoSpaceDE w:val="0"/>
              <w:autoSpaceDN w:val="0"/>
              <w:adjustRightInd w:val="0"/>
              <w:snapToGrid w:val="0"/>
              <w:spacing w:line="280" w:lineRule="exact"/>
              <w:jc w:val="center"/>
              <w:rPr>
                <w:b/>
                <w:sz w:val="20"/>
              </w:rPr>
            </w:pPr>
            <w:r>
              <w:rPr>
                <w:rFonts w:eastAsia="Times New Roman" w:cs="Times New Roman"/>
                <w:b/>
                <w:sz w:val="20"/>
                <w:lang w:eastAsia="lv-LV"/>
              </w:rPr>
              <w:t xml:space="preserve">CATEGORY, </w:t>
            </w:r>
            <w:r w:rsidR="00D02C2C">
              <w:rPr>
                <w:rFonts w:eastAsia="Times New Roman" w:cs="Times New Roman"/>
                <w:b/>
                <w:sz w:val="20"/>
                <w:lang w:eastAsia="lv-LV"/>
              </w:rPr>
              <w:t>AMOUNT AND RIGHTS DERIVED FROM THE NEWLY ISSUED SHARES</w:t>
            </w:r>
          </w:p>
        </w:tc>
      </w:tr>
      <w:tr w:rsidR="004D1416" w:rsidRPr="00FF13A8" w14:paraId="0DFDFAAA" w14:textId="231E4D89" w:rsidTr="006F24B0">
        <w:trPr>
          <w:trHeight w:val="80"/>
          <w:jc w:val="center"/>
        </w:trPr>
        <w:tc>
          <w:tcPr>
            <w:tcW w:w="4436" w:type="dxa"/>
          </w:tcPr>
          <w:p w14:paraId="7B33D1A1" w14:textId="77777777" w:rsidR="004D1416" w:rsidRPr="00FF13A8" w:rsidRDefault="004D1416" w:rsidP="00ED49AB">
            <w:pPr>
              <w:autoSpaceDE w:val="0"/>
              <w:autoSpaceDN w:val="0"/>
              <w:adjustRightInd w:val="0"/>
              <w:snapToGrid w:val="0"/>
              <w:spacing w:line="280" w:lineRule="exact"/>
              <w:rPr>
                <w:b/>
                <w:sz w:val="20"/>
              </w:rPr>
            </w:pPr>
          </w:p>
        </w:tc>
        <w:tc>
          <w:tcPr>
            <w:tcW w:w="4437" w:type="dxa"/>
          </w:tcPr>
          <w:p w14:paraId="5C9137B1" w14:textId="77777777" w:rsidR="004D1416" w:rsidRPr="003F77C6" w:rsidRDefault="004D1416" w:rsidP="00ED49AB">
            <w:pPr>
              <w:autoSpaceDE w:val="0"/>
              <w:autoSpaceDN w:val="0"/>
              <w:adjustRightInd w:val="0"/>
              <w:snapToGrid w:val="0"/>
              <w:spacing w:line="280" w:lineRule="exact"/>
              <w:rPr>
                <w:b/>
                <w:sz w:val="20"/>
              </w:rPr>
            </w:pPr>
          </w:p>
        </w:tc>
      </w:tr>
      <w:tr w:rsidR="004D1416" w:rsidRPr="00FF13A8" w14:paraId="249DC97E" w14:textId="4A12609C" w:rsidTr="006F24B0">
        <w:trPr>
          <w:trHeight w:val="80"/>
          <w:jc w:val="center"/>
        </w:trPr>
        <w:tc>
          <w:tcPr>
            <w:tcW w:w="4436" w:type="dxa"/>
          </w:tcPr>
          <w:p w14:paraId="6385F1E5" w14:textId="0265C853" w:rsidR="004D1416" w:rsidRPr="00FF13A8" w:rsidRDefault="004D1416" w:rsidP="00A24F79">
            <w:pPr>
              <w:numPr>
                <w:ilvl w:val="1"/>
                <w:numId w:val="15"/>
              </w:numPr>
              <w:autoSpaceDE w:val="0"/>
              <w:autoSpaceDN w:val="0"/>
              <w:adjustRightInd w:val="0"/>
              <w:snapToGrid w:val="0"/>
              <w:spacing w:after="120" w:line="259" w:lineRule="auto"/>
              <w:ind w:left="777"/>
              <w:jc w:val="both"/>
              <w:rPr>
                <w:rFonts w:eastAsia="Times New Roman" w:cs="Times New Roman"/>
                <w:bCs/>
                <w:sz w:val="20"/>
                <w:lang w:val="lv-LV" w:eastAsia="lv-LV"/>
              </w:rPr>
            </w:pPr>
            <w:r w:rsidRPr="00FF13A8">
              <w:rPr>
                <w:rFonts w:eastAsia="Times New Roman" w:cs="Times New Roman"/>
                <w:bCs/>
                <w:sz w:val="20"/>
                <w:lang w:val="lv-LV" w:eastAsia="lv-LV"/>
              </w:rPr>
              <w:t>Maksimālais pamatkapitāla nosacīt</w:t>
            </w:r>
            <w:r w:rsidR="00536B00">
              <w:rPr>
                <w:rFonts w:eastAsia="Times New Roman" w:cs="Times New Roman"/>
                <w:bCs/>
                <w:sz w:val="20"/>
                <w:lang w:val="lv-LV" w:eastAsia="lv-LV"/>
              </w:rPr>
              <w:t>ā</w:t>
            </w:r>
            <w:r w:rsidRPr="00FF13A8">
              <w:rPr>
                <w:rFonts w:eastAsia="Times New Roman" w:cs="Times New Roman"/>
                <w:bCs/>
                <w:sz w:val="20"/>
                <w:lang w:val="lv-LV" w:eastAsia="lv-LV"/>
              </w:rPr>
              <w:t xml:space="preserve">s palielināšanas rezultātā emitējamo akciju skaits </w:t>
            </w:r>
            <w:r w:rsidRPr="00FF13A8">
              <w:rPr>
                <w:sz w:val="20"/>
                <w:lang w:val="lv-LV"/>
              </w:rPr>
              <w:t>ir</w:t>
            </w:r>
            <w:r w:rsidRPr="00FF13A8">
              <w:rPr>
                <w:rFonts w:eastAsia="Times New Roman" w:cs="Times New Roman"/>
                <w:bCs/>
                <w:sz w:val="20"/>
                <w:lang w:val="lv-LV" w:eastAsia="lv-LV"/>
              </w:rPr>
              <w:t xml:space="preserve"> </w:t>
            </w:r>
            <w:r w:rsidR="00851DA2">
              <w:rPr>
                <w:rFonts w:eastAsia="Times New Roman" w:cs="Times New Roman"/>
                <w:bCs/>
                <w:sz w:val="20"/>
                <w:lang w:val="lv-LV" w:eastAsia="lv-LV"/>
              </w:rPr>
              <w:t>10 000</w:t>
            </w:r>
            <w:r w:rsidRPr="00FF13A8">
              <w:rPr>
                <w:rFonts w:eastAsia="Times New Roman" w:cs="Times New Roman"/>
                <w:bCs/>
                <w:sz w:val="20"/>
                <w:lang w:val="lv-LV" w:eastAsia="lv-LV"/>
              </w:rPr>
              <w:t xml:space="preserve"> (</w:t>
            </w:r>
            <w:r w:rsidR="00851DA2">
              <w:rPr>
                <w:rFonts w:eastAsia="Times New Roman" w:cs="Times New Roman"/>
                <w:bCs/>
                <w:sz w:val="20"/>
                <w:lang w:val="lv-LV" w:eastAsia="lv-LV"/>
              </w:rPr>
              <w:t>desmit tūkstoši</w:t>
            </w:r>
            <w:r w:rsidRPr="00FF13A8">
              <w:rPr>
                <w:rFonts w:eastAsia="Times New Roman" w:cs="Times New Roman"/>
                <w:bCs/>
                <w:sz w:val="20"/>
                <w:lang w:val="lv-LV" w:eastAsia="lv-LV"/>
              </w:rPr>
              <w:t>)</w:t>
            </w:r>
            <w:r w:rsidRPr="00FF13A8">
              <w:rPr>
                <w:rFonts w:eastAsia="Times New Roman" w:cs="Times New Roman"/>
                <w:bCs/>
                <w:color w:val="FF0000"/>
                <w:sz w:val="20"/>
                <w:lang w:val="lv-LV" w:eastAsia="lv-LV"/>
              </w:rPr>
              <w:t xml:space="preserve"> </w:t>
            </w:r>
            <w:r w:rsidRPr="00FF13A8">
              <w:rPr>
                <w:rFonts w:eastAsia="Times New Roman" w:cs="Times New Roman"/>
                <w:bCs/>
                <w:sz w:val="20"/>
                <w:lang w:val="lv-LV" w:eastAsia="lv-LV"/>
              </w:rPr>
              <w:t xml:space="preserve">dematerializētas uzrādītāja akcijas ar vienas akcijas nominālvērtību </w:t>
            </w:r>
            <w:r w:rsidRPr="00FF13A8">
              <w:rPr>
                <w:sz w:val="20"/>
                <w:lang w:val="lv-LV"/>
              </w:rPr>
              <w:t xml:space="preserve">0,10 EUR (desmit </w:t>
            </w:r>
            <w:r w:rsidR="00D961AC" w:rsidRPr="00D961AC">
              <w:rPr>
                <w:i/>
                <w:iCs/>
                <w:sz w:val="20"/>
                <w:lang w:val="lv-LV"/>
              </w:rPr>
              <w:t>euro</w:t>
            </w:r>
            <w:r w:rsidR="00D961AC">
              <w:rPr>
                <w:sz w:val="20"/>
                <w:lang w:val="lv-LV"/>
              </w:rPr>
              <w:t xml:space="preserve"> </w:t>
            </w:r>
            <w:r w:rsidRPr="00FF13A8">
              <w:rPr>
                <w:sz w:val="20"/>
                <w:lang w:val="lv-LV"/>
              </w:rPr>
              <w:t>centi).</w:t>
            </w:r>
          </w:p>
        </w:tc>
        <w:tc>
          <w:tcPr>
            <w:tcW w:w="4437" w:type="dxa"/>
          </w:tcPr>
          <w:p w14:paraId="3E111C4F" w14:textId="5B3F303D" w:rsidR="004D1416" w:rsidRPr="003F77C6" w:rsidRDefault="00DC736D" w:rsidP="00A24F79">
            <w:pPr>
              <w:numPr>
                <w:ilvl w:val="1"/>
                <w:numId w:val="16"/>
              </w:numPr>
              <w:autoSpaceDE w:val="0"/>
              <w:autoSpaceDN w:val="0"/>
              <w:adjustRightInd w:val="0"/>
              <w:snapToGrid w:val="0"/>
              <w:spacing w:after="120" w:line="259" w:lineRule="auto"/>
              <w:ind w:left="702"/>
              <w:jc w:val="both"/>
              <w:rPr>
                <w:rFonts w:eastAsia="Times New Roman" w:cs="Times New Roman"/>
                <w:bCs/>
                <w:sz w:val="20"/>
                <w:lang w:eastAsia="lv-LV"/>
              </w:rPr>
            </w:pPr>
            <w:r>
              <w:rPr>
                <w:rFonts w:eastAsia="Times New Roman" w:cs="Times New Roman"/>
                <w:bCs/>
                <w:sz w:val="20"/>
                <w:lang w:eastAsia="lv-LV"/>
              </w:rPr>
              <w:t xml:space="preserve">The maximum amount of newly issued shares </w:t>
            </w:r>
            <w:r w:rsidR="00531A4A">
              <w:rPr>
                <w:rFonts w:eastAsia="Times New Roman" w:cs="Times New Roman"/>
                <w:bCs/>
                <w:sz w:val="20"/>
                <w:lang w:eastAsia="lv-LV"/>
              </w:rPr>
              <w:t>resulting from the conditional share increase</w:t>
            </w:r>
            <w:r w:rsidR="00DD32A3">
              <w:rPr>
                <w:rFonts w:eastAsia="Times New Roman" w:cs="Times New Roman"/>
                <w:bCs/>
                <w:sz w:val="20"/>
                <w:lang w:eastAsia="lv-LV"/>
              </w:rPr>
              <w:t xml:space="preserve"> is </w:t>
            </w:r>
            <w:r w:rsidR="00851DA2">
              <w:rPr>
                <w:rFonts w:eastAsia="Times New Roman" w:cs="Times New Roman"/>
                <w:bCs/>
                <w:sz w:val="20"/>
                <w:lang w:eastAsia="lv-LV"/>
              </w:rPr>
              <w:t>10 000</w:t>
            </w:r>
            <w:r w:rsidR="00DD32A3">
              <w:rPr>
                <w:rFonts w:eastAsia="Times New Roman" w:cs="Times New Roman"/>
                <w:bCs/>
                <w:sz w:val="20"/>
                <w:lang w:eastAsia="lv-LV"/>
              </w:rPr>
              <w:t xml:space="preserve"> (</w:t>
            </w:r>
            <w:r w:rsidR="00851DA2">
              <w:rPr>
                <w:rFonts w:eastAsia="Times New Roman" w:cs="Times New Roman"/>
                <w:bCs/>
                <w:sz w:val="20"/>
                <w:lang w:eastAsia="lv-LV"/>
              </w:rPr>
              <w:t>ten thousand</w:t>
            </w:r>
            <w:r w:rsidR="00DD32A3">
              <w:rPr>
                <w:rFonts w:eastAsia="Times New Roman" w:cs="Times New Roman"/>
                <w:bCs/>
                <w:sz w:val="20"/>
                <w:lang w:eastAsia="lv-LV"/>
              </w:rPr>
              <w:t xml:space="preserve">) </w:t>
            </w:r>
            <w:r w:rsidR="00DD32A3">
              <w:rPr>
                <w:sz w:val="20"/>
              </w:rPr>
              <w:t xml:space="preserve">dematerialized bearer shares, with the </w:t>
            </w:r>
            <w:r w:rsidR="00DD32A3" w:rsidRPr="00A845DF">
              <w:rPr>
                <w:sz w:val="20"/>
              </w:rPr>
              <w:t xml:space="preserve">nominal </w:t>
            </w:r>
            <w:r w:rsidR="00DD32A3" w:rsidRPr="00A07B8A">
              <w:rPr>
                <w:sz w:val="20"/>
              </w:rPr>
              <w:t>value of each share EUR 0,10 (ten</w:t>
            </w:r>
            <w:r w:rsidR="00D961AC">
              <w:rPr>
                <w:sz w:val="20"/>
              </w:rPr>
              <w:t xml:space="preserve"> </w:t>
            </w:r>
            <w:r w:rsidR="00D961AC" w:rsidRPr="00384DA0">
              <w:rPr>
                <w:i/>
                <w:iCs/>
                <w:sz w:val="20"/>
              </w:rPr>
              <w:t>euro</w:t>
            </w:r>
            <w:r w:rsidR="00DD32A3" w:rsidRPr="00A07B8A">
              <w:rPr>
                <w:sz w:val="20"/>
              </w:rPr>
              <w:t xml:space="preserve"> cents)</w:t>
            </w:r>
            <w:r w:rsidR="00DD32A3">
              <w:rPr>
                <w:sz w:val="20"/>
              </w:rPr>
              <w:t>.</w:t>
            </w:r>
          </w:p>
        </w:tc>
      </w:tr>
      <w:tr w:rsidR="00786C12" w:rsidRPr="00FF13A8" w14:paraId="3131D7A7" w14:textId="77777777" w:rsidTr="006F24B0">
        <w:trPr>
          <w:trHeight w:val="80"/>
          <w:jc w:val="center"/>
        </w:trPr>
        <w:tc>
          <w:tcPr>
            <w:tcW w:w="4436" w:type="dxa"/>
          </w:tcPr>
          <w:p w14:paraId="7684E5AA" w14:textId="5EF43B19" w:rsidR="00786C12" w:rsidRPr="00FF13A8" w:rsidRDefault="00180B63" w:rsidP="00A24F79">
            <w:pPr>
              <w:numPr>
                <w:ilvl w:val="1"/>
                <w:numId w:val="15"/>
              </w:numPr>
              <w:autoSpaceDE w:val="0"/>
              <w:autoSpaceDN w:val="0"/>
              <w:adjustRightInd w:val="0"/>
              <w:snapToGrid w:val="0"/>
              <w:spacing w:after="120" w:line="259" w:lineRule="auto"/>
              <w:ind w:left="777"/>
              <w:jc w:val="both"/>
              <w:rPr>
                <w:rFonts w:eastAsia="Times New Roman" w:cs="Times New Roman"/>
                <w:bCs/>
                <w:sz w:val="20"/>
                <w:lang w:val="lv-LV" w:eastAsia="lv-LV"/>
              </w:rPr>
            </w:pPr>
            <w:r>
              <w:rPr>
                <w:rFonts w:eastAsia="Times New Roman" w:cs="Times New Roman"/>
                <w:bCs/>
                <w:sz w:val="20"/>
                <w:lang w:val="lv-LV" w:eastAsia="lv-LV"/>
              </w:rPr>
              <w:t>V</w:t>
            </w:r>
            <w:r w:rsidRPr="00180B63">
              <w:rPr>
                <w:rFonts w:eastAsia="Times New Roman" w:cs="Times New Roman"/>
                <w:bCs/>
                <w:sz w:val="20"/>
                <w:lang w:val="lv-LV" w:eastAsia="lv-LV"/>
              </w:rPr>
              <w:t xml:space="preserve">iena piešķirtā personāla opcija dod tiesības iegūt vienu </w:t>
            </w:r>
            <w:r>
              <w:rPr>
                <w:rFonts w:eastAsia="Times New Roman" w:cs="Times New Roman"/>
                <w:bCs/>
                <w:sz w:val="20"/>
                <w:lang w:val="lv-LV" w:eastAsia="lv-LV"/>
              </w:rPr>
              <w:t xml:space="preserve">Sabiedrības </w:t>
            </w:r>
            <w:r w:rsidRPr="00180B63">
              <w:rPr>
                <w:rFonts w:eastAsia="Times New Roman" w:cs="Times New Roman"/>
                <w:bCs/>
                <w:sz w:val="20"/>
                <w:lang w:val="lv-LV" w:eastAsia="lv-LV"/>
              </w:rPr>
              <w:t xml:space="preserve">dematerializētu </w:t>
            </w:r>
            <w:r w:rsidRPr="00180B63">
              <w:rPr>
                <w:rFonts w:eastAsia="Times New Roman" w:cs="Times New Roman"/>
                <w:bCs/>
                <w:sz w:val="20"/>
                <w:lang w:val="lv-LV" w:eastAsia="lv-LV"/>
              </w:rPr>
              <w:lastRenderedPageBreak/>
              <w:t>uzrādītāja akciju ar akcijas nominālvērtību 0,10 EUR</w:t>
            </w:r>
            <w:r w:rsidR="00E72C7D">
              <w:rPr>
                <w:rFonts w:eastAsia="Times New Roman" w:cs="Times New Roman"/>
                <w:bCs/>
                <w:sz w:val="20"/>
                <w:lang w:val="lv-LV" w:eastAsia="lv-LV"/>
              </w:rPr>
              <w:t xml:space="preserve"> (desmit </w:t>
            </w:r>
            <w:r w:rsidR="006C2D40" w:rsidRPr="00DD6F33">
              <w:rPr>
                <w:rFonts w:eastAsia="Times New Roman" w:cs="Times New Roman"/>
                <w:bCs/>
                <w:i/>
                <w:iCs/>
                <w:sz w:val="20"/>
                <w:lang w:eastAsia="lv-LV"/>
              </w:rPr>
              <w:t>euro</w:t>
            </w:r>
            <w:r w:rsidR="006C2D40">
              <w:rPr>
                <w:rFonts w:eastAsia="Times New Roman" w:cs="Times New Roman"/>
                <w:bCs/>
                <w:i/>
                <w:iCs/>
                <w:sz w:val="20"/>
                <w:lang w:val="lv-LV" w:eastAsia="lv-LV"/>
              </w:rPr>
              <w:t xml:space="preserve"> </w:t>
            </w:r>
            <w:r w:rsidR="00E72C7D">
              <w:rPr>
                <w:rFonts w:eastAsia="Times New Roman" w:cs="Times New Roman"/>
                <w:bCs/>
                <w:sz w:val="20"/>
                <w:lang w:val="lv-LV" w:eastAsia="lv-LV"/>
              </w:rPr>
              <w:t>centi)</w:t>
            </w:r>
            <w:r w:rsidRPr="00180B63">
              <w:rPr>
                <w:rFonts w:eastAsia="Times New Roman" w:cs="Times New Roman"/>
                <w:bCs/>
                <w:sz w:val="20"/>
                <w:lang w:val="lv-LV" w:eastAsia="lv-LV"/>
              </w:rPr>
              <w:t>.</w:t>
            </w:r>
          </w:p>
        </w:tc>
        <w:tc>
          <w:tcPr>
            <w:tcW w:w="4437" w:type="dxa"/>
          </w:tcPr>
          <w:p w14:paraId="636B94A1" w14:textId="23D08EFC" w:rsidR="00786C12" w:rsidRDefault="00786C12" w:rsidP="00A24F79">
            <w:pPr>
              <w:numPr>
                <w:ilvl w:val="1"/>
                <w:numId w:val="16"/>
              </w:numPr>
              <w:autoSpaceDE w:val="0"/>
              <w:autoSpaceDN w:val="0"/>
              <w:adjustRightInd w:val="0"/>
              <w:snapToGrid w:val="0"/>
              <w:spacing w:after="120" w:line="259" w:lineRule="auto"/>
              <w:ind w:left="702"/>
              <w:jc w:val="both"/>
              <w:rPr>
                <w:rFonts w:eastAsia="Times New Roman" w:cs="Times New Roman"/>
                <w:bCs/>
                <w:sz w:val="20"/>
                <w:lang w:eastAsia="lv-LV"/>
              </w:rPr>
            </w:pPr>
            <w:r>
              <w:rPr>
                <w:rFonts w:eastAsia="Times New Roman" w:cs="Times New Roman"/>
                <w:bCs/>
                <w:sz w:val="20"/>
                <w:lang w:eastAsia="lv-LV"/>
              </w:rPr>
              <w:lastRenderedPageBreak/>
              <w:t>O</w:t>
            </w:r>
            <w:r w:rsidRPr="00786C12">
              <w:rPr>
                <w:rFonts w:eastAsia="Times New Roman" w:cs="Times New Roman"/>
                <w:bCs/>
                <w:sz w:val="20"/>
                <w:lang w:eastAsia="lv-LV"/>
              </w:rPr>
              <w:t xml:space="preserve">ne </w:t>
            </w:r>
            <w:r w:rsidR="007670D9">
              <w:rPr>
                <w:rFonts w:eastAsia="Times New Roman" w:cs="Times New Roman"/>
                <w:bCs/>
                <w:sz w:val="20"/>
                <w:lang w:eastAsia="lv-LV"/>
              </w:rPr>
              <w:t xml:space="preserve">personnel option </w:t>
            </w:r>
            <w:r w:rsidR="00F71C46">
              <w:rPr>
                <w:rFonts w:eastAsia="Times New Roman" w:cs="Times New Roman"/>
                <w:bCs/>
                <w:sz w:val="20"/>
                <w:lang w:eastAsia="lv-LV"/>
              </w:rPr>
              <w:t xml:space="preserve">grants the right </w:t>
            </w:r>
            <w:r w:rsidRPr="00786C12">
              <w:rPr>
                <w:rFonts w:eastAsia="Times New Roman" w:cs="Times New Roman"/>
                <w:bCs/>
                <w:sz w:val="20"/>
                <w:lang w:eastAsia="lv-LV"/>
              </w:rPr>
              <w:t>to receive one dematerialized bearer share</w:t>
            </w:r>
            <w:r w:rsidR="007670D9">
              <w:rPr>
                <w:rFonts w:eastAsia="Times New Roman" w:cs="Times New Roman"/>
                <w:bCs/>
                <w:sz w:val="20"/>
                <w:lang w:eastAsia="lv-LV"/>
              </w:rPr>
              <w:t xml:space="preserve"> of the</w:t>
            </w:r>
            <w:r w:rsidR="007670D9" w:rsidRPr="00786C12">
              <w:rPr>
                <w:rFonts w:eastAsia="Times New Roman" w:cs="Times New Roman"/>
                <w:bCs/>
                <w:sz w:val="20"/>
                <w:lang w:eastAsia="lv-LV"/>
              </w:rPr>
              <w:t xml:space="preserve"> Company</w:t>
            </w:r>
            <w:r w:rsidR="00FC03F0">
              <w:rPr>
                <w:rFonts w:eastAsia="Times New Roman" w:cs="Times New Roman"/>
                <w:bCs/>
                <w:sz w:val="20"/>
                <w:lang w:eastAsia="lv-LV"/>
              </w:rPr>
              <w:t xml:space="preserve"> with </w:t>
            </w:r>
            <w:r w:rsidR="00B45895">
              <w:rPr>
                <w:sz w:val="20"/>
              </w:rPr>
              <w:lastRenderedPageBreak/>
              <w:t xml:space="preserve">the nominal value of </w:t>
            </w:r>
            <w:r w:rsidR="00E72C7D">
              <w:rPr>
                <w:sz w:val="20"/>
              </w:rPr>
              <w:t xml:space="preserve">the share </w:t>
            </w:r>
            <w:r w:rsidR="00FC03F0" w:rsidRPr="00A07B8A">
              <w:rPr>
                <w:sz w:val="20"/>
              </w:rPr>
              <w:t>EUR</w:t>
            </w:r>
            <w:r w:rsidR="00E72C7D">
              <w:rPr>
                <w:sz w:val="20"/>
              </w:rPr>
              <w:t> </w:t>
            </w:r>
            <w:r w:rsidR="00FC03F0" w:rsidRPr="00A07B8A">
              <w:rPr>
                <w:sz w:val="20"/>
              </w:rPr>
              <w:t xml:space="preserve">0,10 (ten </w:t>
            </w:r>
            <w:r w:rsidR="006C2D40">
              <w:rPr>
                <w:i/>
                <w:iCs/>
                <w:sz w:val="20"/>
              </w:rPr>
              <w:t xml:space="preserve">euro </w:t>
            </w:r>
            <w:r w:rsidR="00FC03F0" w:rsidRPr="00A07B8A">
              <w:rPr>
                <w:sz w:val="20"/>
              </w:rPr>
              <w:t>cents)</w:t>
            </w:r>
            <w:r w:rsidRPr="00786C12">
              <w:rPr>
                <w:rFonts w:eastAsia="Times New Roman" w:cs="Times New Roman"/>
                <w:bCs/>
                <w:sz w:val="20"/>
                <w:lang w:eastAsia="lv-LV"/>
              </w:rPr>
              <w:t>.</w:t>
            </w:r>
          </w:p>
        </w:tc>
      </w:tr>
      <w:tr w:rsidR="00A24F79" w:rsidRPr="00FF13A8" w14:paraId="3AE3FA8E" w14:textId="77777777" w:rsidTr="006F24B0">
        <w:trPr>
          <w:trHeight w:val="80"/>
          <w:jc w:val="center"/>
        </w:trPr>
        <w:tc>
          <w:tcPr>
            <w:tcW w:w="4436" w:type="dxa"/>
          </w:tcPr>
          <w:p w14:paraId="4C59BCC5" w14:textId="158B86F9" w:rsidR="00A24F79" w:rsidRPr="00FF13A8" w:rsidRDefault="00A24F79" w:rsidP="00A24F79">
            <w:pPr>
              <w:numPr>
                <w:ilvl w:val="1"/>
                <w:numId w:val="15"/>
              </w:numPr>
              <w:autoSpaceDE w:val="0"/>
              <w:autoSpaceDN w:val="0"/>
              <w:adjustRightInd w:val="0"/>
              <w:snapToGrid w:val="0"/>
              <w:spacing w:after="120" w:line="259" w:lineRule="auto"/>
              <w:ind w:left="777"/>
              <w:jc w:val="both"/>
              <w:rPr>
                <w:rFonts w:eastAsia="Times New Roman" w:cs="Times New Roman"/>
                <w:bCs/>
                <w:sz w:val="20"/>
                <w:lang w:val="lv-LV" w:eastAsia="lv-LV"/>
              </w:rPr>
            </w:pPr>
            <w:r w:rsidRPr="00FF13A8">
              <w:rPr>
                <w:rFonts w:eastAsia="Times New Roman" w:cs="Times New Roman"/>
                <w:bCs/>
                <w:sz w:val="20"/>
                <w:lang w:val="lv-LV" w:eastAsia="lv-LV"/>
              </w:rPr>
              <w:lastRenderedPageBreak/>
              <w:t>Visas</w:t>
            </w:r>
            <w:r w:rsidR="00E72C7D">
              <w:rPr>
                <w:rFonts w:eastAsia="Times New Roman" w:cs="Times New Roman"/>
                <w:bCs/>
                <w:sz w:val="20"/>
                <w:lang w:val="lv-LV" w:eastAsia="lv-LV"/>
              </w:rPr>
              <w:t xml:space="preserve"> nosacītās</w:t>
            </w:r>
            <w:r w:rsidRPr="00FF13A8">
              <w:rPr>
                <w:rFonts w:eastAsia="Times New Roman" w:cs="Times New Roman"/>
                <w:bCs/>
                <w:sz w:val="20"/>
                <w:lang w:val="lv-LV" w:eastAsia="lv-LV"/>
              </w:rPr>
              <w:t xml:space="preserve"> pamatkapitāla palielināšanas rezultātā emitētās akcijas (jaunās emisijas akcijas) ir vienas kategorijas.</w:t>
            </w:r>
          </w:p>
        </w:tc>
        <w:tc>
          <w:tcPr>
            <w:tcW w:w="4437" w:type="dxa"/>
          </w:tcPr>
          <w:p w14:paraId="29ABB24D" w14:textId="17AE3705" w:rsidR="00A24F79" w:rsidRPr="003F77C6" w:rsidRDefault="00536B00" w:rsidP="00A24F79">
            <w:pPr>
              <w:numPr>
                <w:ilvl w:val="1"/>
                <w:numId w:val="16"/>
              </w:numPr>
              <w:autoSpaceDE w:val="0"/>
              <w:autoSpaceDN w:val="0"/>
              <w:adjustRightInd w:val="0"/>
              <w:snapToGrid w:val="0"/>
              <w:spacing w:after="120" w:line="259" w:lineRule="auto"/>
              <w:ind w:left="702"/>
              <w:jc w:val="both"/>
              <w:rPr>
                <w:rFonts w:eastAsia="Times New Roman" w:cs="Times New Roman"/>
                <w:bCs/>
                <w:sz w:val="20"/>
                <w:lang w:eastAsia="lv-LV"/>
              </w:rPr>
            </w:pPr>
            <w:r>
              <w:rPr>
                <w:rFonts w:eastAsia="Times New Roman" w:cs="Times New Roman"/>
                <w:bCs/>
                <w:sz w:val="20"/>
                <w:lang w:eastAsia="lv-LV"/>
              </w:rPr>
              <w:t>All newly issued shares resulting from the</w:t>
            </w:r>
            <w:r w:rsidR="00E72C7D">
              <w:rPr>
                <w:rFonts w:eastAsia="Times New Roman" w:cs="Times New Roman"/>
                <w:bCs/>
                <w:sz w:val="20"/>
                <w:lang w:eastAsia="lv-LV"/>
              </w:rPr>
              <w:t xml:space="preserve"> conditional</w:t>
            </w:r>
            <w:r>
              <w:rPr>
                <w:rFonts w:eastAsia="Times New Roman" w:cs="Times New Roman"/>
                <w:bCs/>
                <w:sz w:val="20"/>
                <w:lang w:eastAsia="lv-LV"/>
              </w:rPr>
              <w:t xml:space="preserve"> share increase</w:t>
            </w:r>
            <w:r w:rsidR="004322B9">
              <w:rPr>
                <w:rFonts w:eastAsia="Times New Roman" w:cs="Times New Roman"/>
                <w:bCs/>
                <w:sz w:val="20"/>
                <w:lang w:eastAsia="lv-LV"/>
              </w:rPr>
              <w:t xml:space="preserve"> (newly issued shares)</w:t>
            </w:r>
            <w:r>
              <w:rPr>
                <w:rFonts w:eastAsia="Times New Roman" w:cs="Times New Roman"/>
                <w:bCs/>
                <w:sz w:val="20"/>
                <w:lang w:eastAsia="lv-LV"/>
              </w:rPr>
              <w:t xml:space="preserve"> are one category shares. </w:t>
            </w:r>
          </w:p>
        </w:tc>
      </w:tr>
      <w:tr w:rsidR="00A24F79" w:rsidRPr="00FF13A8" w14:paraId="599193A1" w14:textId="77777777" w:rsidTr="006F24B0">
        <w:trPr>
          <w:trHeight w:val="80"/>
          <w:jc w:val="center"/>
        </w:trPr>
        <w:tc>
          <w:tcPr>
            <w:tcW w:w="4436" w:type="dxa"/>
          </w:tcPr>
          <w:p w14:paraId="40803334" w14:textId="4787CB9E" w:rsidR="00A24F79" w:rsidRPr="00FF13A8" w:rsidRDefault="00A24F79" w:rsidP="00A24F79">
            <w:pPr>
              <w:numPr>
                <w:ilvl w:val="1"/>
                <w:numId w:val="15"/>
              </w:numPr>
              <w:autoSpaceDE w:val="0"/>
              <w:autoSpaceDN w:val="0"/>
              <w:adjustRightInd w:val="0"/>
              <w:snapToGrid w:val="0"/>
              <w:spacing w:after="120" w:line="259" w:lineRule="auto"/>
              <w:ind w:left="777"/>
              <w:jc w:val="both"/>
              <w:rPr>
                <w:rFonts w:eastAsia="Times New Roman" w:cs="Times New Roman"/>
                <w:bCs/>
                <w:sz w:val="20"/>
                <w:lang w:val="lv-LV" w:eastAsia="lv-LV"/>
              </w:rPr>
            </w:pPr>
            <w:r w:rsidRPr="00FF13A8">
              <w:rPr>
                <w:rFonts w:eastAsia="Times New Roman" w:cs="Times New Roman"/>
                <w:bCs/>
                <w:sz w:val="20"/>
                <w:lang w:val="lv-LV" w:eastAsia="lv-LV"/>
              </w:rPr>
              <w:t>Katra jaunās emisijas akcija dod tiesības uz 1 (vienu) balsi Sabiedrības akcionāru sapulcē, kā arī dod tiesības uz dividendes un likvidācijas kvotas saņemšanu.</w:t>
            </w:r>
          </w:p>
        </w:tc>
        <w:tc>
          <w:tcPr>
            <w:tcW w:w="4437" w:type="dxa"/>
          </w:tcPr>
          <w:p w14:paraId="11392D75" w14:textId="4A206DA9" w:rsidR="00A24F79" w:rsidRPr="003F77C6" w:rsidRDefault="003567B1" w:rsidP="00A24F79">
            <w:pPr>
              <w:numPr>
                <w:ilvl w:val="1"/>
                <w:numId w:val="16"/>
              </w:numPr>
              <w:autoSpaceDE w:val="0"/>
              <w:autoSpaceDN w:val="0"/>
              <w:adjustRightInd w:val="0"/>
              <w:snapToGrid w:val="0"/>
              <w:spacing w:after="120" w:line="259" w:lineRule="auto"/>
              <w:ind w:left="702"/>
              <w:jc w:val="both"/>
              <w:rPr>
                <w:rFonts w:eastAsia="Times New Roman" w:cs="Times New Roman"/>
                <w:bCs/>
                <w:sz w:val="20"/>
                <w:lang w:eastAsia="lv-LV"/>
              </w:rPr>
            </w:pPr>
            <w:r w:rsidRPr="003567B1">
              <w:rPr>
                <w:rFonts w:eastAsia="Times New Roman" w:cs="Times New Roman"/>
                <w:bCs/>
                <w:sz w:val="20"/>
                <w:lang w:eastAsia="lv-LV"/>
              </w:rPr>
              <w:t>Each new</w:t>
            </w:r>
            <w:r>
              <w:rPr>
                <w:rFonts w:eastAsia="Times New Roman" w:cs="Times New Roman"/>
                <w:bCs/>
                <w:sz w:val="20"/>
                <w:lang w:eastAsia="lv-LV"/>
              </w:rPr>
              <w:t>ly</w:t>
            </w:r>
            <w:r w:rsidRPr="003567B1">
              <w:rPr>
                <w:rFonts w:eastAsia="Times New Roman" w:cs="Times New Roman"/>
                <w:bCs/>
                <w:sz w:val="20"/>
                <w:lang w:eastAsia="lv-LV"/>
              </w:rPr>
              <w:t xml:space="preserve"> issue</w:t>
            </w:r>
            <w:r>
              <w:rPr>
                <w:rFonts w:eastAsia="Times New Roman" w:cs="Times New Roman"/>
                <w:bCs/>
                <w:sz w:val="20"/>
                <w:lang w:eastAsia="lv-LV"/>
              </w:rPr>
              <w:t>d</w:t>
            </w:r>
            <w:r w:rsidRPr="003567B1">
              <w:rPr>
                <w:rFonts w:eastAsia="Times New Roman" w:cs="Times New Roman"/>
                <w:bCs/>
                <w:sz w:val="20"/>
                <w:lang w:eastAsia="lv-LV"/>
              </w:rPr>
              <w:t xml:space="preserve"> share </w:t>
            </w:r>
            <w:r>
              <w:rPr>
                <w:rFonts w:eastAsia="Times New Roman" w:cs="Times New Roman"/>
                <w:bCs/>
                <w:sz w:val="20"/>
                <w:lang w:eastAsia="lv-LV"/>
              </w:rPr>
              <w:t>grants the right</w:t>
            </w:r>
            <w:r w:rsidRPr="003567B1">
              <w:rPr>
                <w:rFonts w:eastAsia="Times New Roman" w:cs="Times New Roman"/>
                <w:bCs/>
                <w:sz w:val="20"/>
                <w:lang w:eastAsia="lv-LV"/>
              </w:rPr>
              <w:t xml:space="preserve"> to 1 (one) vote in</w:t>
            </w:r>
            <w:r>
              <w:rPr>
                <w:rFonts w:eastAsia="Times New Roman" w:cs="Times New Roman"/>
                <w:bCs/>
                <w:sz w:val="20"/>
                <w:lang w:eastAsia="lv-LV"/>
              </w:rPr>
              <w:t xml:space="preserve"> a</w:t>
            </w:r>
            <w:r w:rsidRPr="003567B1">
              <w:rPr>
                <w:rFonts w:eastAsia="Times New Roman" w:cs="Times New Roman"/>
                <w:bCs/>
                <w:sz w:val="20"/>
                <w:lang w:eastAsia="lv-LV"/>
              </w:rPr>
              <w:t xml:space="preserve"> shareholder</w:t>
            </w:r>
            <w:r>
              <w:rPr>
                <w:rFonts w:eastAsia="Times New Roman" w:cs="Times New Roman"/>
                <w:bCs/>
                <w:sz w:val="20"/>
                <w:lang w:eastAsia="lv-LV"/>
              </w:rPr>
              <w:t>s’</w:t>
            </w:r>
            <w:r w:rsidRPr="003567B1">
              <w:rPr>
                <w:rFonts w:eastAsia="Times New Roman" w:cs="Times New Roman"/>
                <w:bCs/>
                <w:sz w:val="20"/>
                <w:lang w:eastAsia="lv-LV"/>
              </w:rPr>
              <w:t xml:space="preserve"> meeting</w:t>
            </w:r>
            <w:r>
              <w:rPr>
                <w:rFonts w:eastAsia="Times New Roman" w:cs="Times New Roman"/>
                <w:bCs/>
                <w:sz w:val="20"/>
                <w:lang w:eastAsia="lv-LV"/>
              </w:rPr>
              <w:t xml:space="preserve"> of the Company, as well as </w:t>
            </w:r>
            <w:r w:rsidRPr="003567B1">
              <w:rPr>
                <w:rFonts w:eastAsia="Times New Roman" w:cs="Times New Roman"/>
                <w:bCs/>
                <w:sz w:val="20"/>
                <w:lang w:eastAsia="lv-LV"/>
              </w:rPr>
              <w:t>gives</w:t>
            </w:r>
            <w:r>
              <w:rPr>
                <w:rFonts w:eastAsia="Times New Roman" w:cs="Times New Roman"/>
                <w:bCs/>
                <w:sz w:val="20"/>
                <w:lang w:eastAsia="lv-LV"/>
              </w:rPr>
              <w:t xml:space="preserve"> the</w:t>
            </w:r>
            <w:r w:rsidRPr="003567B1">
              <w:rPr>
                <w:rFonts w:eastAsia="Times New Roman" w:cs="Times New Roman"/>
                <w:bCs/>
                <w:sz w:val="20"/>
                <w:lang w:eastAsia="lv-LV"/>
              </w:rPr>
              <w:t xml:space="preserve"> right to receive dividend and liquidation quota.</w:t>
            </w:r>
          </w:p>
        </w:tc>
      </w:tr>
      <w:tr w:rsidR="00A24F79" w:rsidRPr="00FF13A8" w14:paraId="2B6148ED" w14:textId="77777777" w:rsidTr="006F24B0">
        <w:trPr>
          <w:trHeight w:val="80"/>
          <w:jc w:val="center"/>
        </w:trPr>
        <w:tc>
          <w:tcPr>
            <w:tcW w:w="4436" w:type="dxa"/>
          </w:tcPr>
          <w:p w14:paraId="0408DA00" w14:textId="545A1912" w:rsidR="00A24F79" w:rsidRPr="003F6B5F" w:rsidRDefault="00A24F79" w:rsidP="00A24F79">
            <w:pPr>
              <w:numPr>
                <w:ilvl w:val="1"/>
                <w:numId w:val="15"/>
              </w:numPr>
              <w:autoSpaceDE w:val="0"/>
              <w:autoSpaceDN w:val="0"/>
              <w:adjustRightInd w:val="0"/>
              <w:snapToGrid w:val="0"/>
              <w:spacing w:after="120" w:line="259" w:lineRule="auto"/>
              <w:ind w:left="777"/>
              <w:jc w:val="both"/>
              <w:rPr>
                <w:rFonts w:eastAsia="Times New Roman" w:cs="Times New Roman"/>
                <w:bCs/>
                <w:sz w:val="20"/>
                <w:lang w:val="lv-LV" w:eastAsia="lv-LV"/>
              </w:rPr>
            </w:pPr>
            <w:r w:rsidRPr="003F6B5F">
              <w:rPr>
                <w:rFonts w:eastAsia="Times New Roman" w:cs="Times New Roman"/>
                <w:bCs/>
                <w:sz w:val="20"/>
                <w:lang w:val="lv-LV" w:eastAsia="lv-LV"/>
              </w:rPr>
              <w:t>Visas tiesības (tajā skaitā balsstiesības), kuras pienākas akcionāram kā Sabiedrības jaunās emisijas akciju ieguvējam (tajā skaitā tiesības saņemt dividendes), tiek iegūtas ar brīdi, kad pamatkapitāla palielināšana ir reģistrēta Latvijas Republikas Uzņēmumu reģistra komercreģistrā atbilstoši Komerclikuma 261.</w:t>
            </w:r>
            <w:r w:rsidRPr="003F6B5F">
              <w:rPr>
                <w:rFonts w:eastAsia="Times New Roman" w:cs="Times New Roman"/>
                <w:bCs/>
                <w:sz w:val="20"/>
                <w:vertAlign w:val="superscript"/>
                <w:lang w:val="lv-LV" w:eastAsia="lv-LV"/>
              </w:rPr>
              <w:t>1</w:t>
            </w:r>
            <w:r w:rsidRPr="003F6B5F">
              <w:rPr>
                <w:rFonts w:eastAsia="Times New Roman" w:cs="Times New Roman"/>
                <w:bCs/>
                <w:sz w:val="20"/>
                <w:lang w:val="lv-LV" w:eastAsia="lv-LV"/>
              </w:rPr>
              <w:t xml:space="preserve"> panta divpadsmitās daļas noteikumiem.</w:t>
            </w:r>
          </w:p>
        </w:tc>
        <w:tc>
          <w:tcPr>
            <w:tcW w:w="4437" w:type="dxa"/>
          </w:tcPr>
          <w:p w14:paraId="629FE6AC" w14:textId="24EC3DE8" w:rsidR="00A24F79" w:rsidRPr="003F6B5F" w:rsidRDefault="00FC2886" w:rsidP="00A24F79">
            <w:pPr>
              <w:numPr>
                <w:ilvl w:val="1"/>
                <w:numId w:val="16"/>
              </w:numPr>
              <w:autoSpaceDE w:val="0"/>
              <w:autoSpaceDN w:val="0"/>
              <w:adjustRightInd w:val="0"/>
              <w:snapToGrid w:val="0"/>
              <w:spacing w:after="120" w:line="259" w:lineRule="auto"/>
              <w:ind w:left="702"/>
              <w:jc w:val="both"/>
              <w:rPr>
                <w:rFonts w:eastAsia="Times New Roman" w:cs="Times New Roman"/>
                <w:bCs/>
                <w:sz w:val="20"/>
                <w:lang w:eastAsia="lv-LV"/>
              </w:rPr>
            </w:pPr>
            <w:r w:rsidRPr="003F6B5F">
              <w:rPr>
                <w:rFonts w:eastAsia="Times New Roman" w:cs="Times New Roman"/>
                <w:bCs/>
                <w:sz w:val="20"/>
                <w:lang w:eastAsia="lv-LV"/>
              </w:rPr>
              <w:t xml:space="preserve">All rights (including, the voting rights) due to the Company’s shareholder as the receiver of newly issued shares (including, the right to receive dividend), are acquired when the share capital increase has been registered in </w:t>
            </w:r>
            <w:r w:rsidR="00DB5D85" w:rsidRPr="003F6B5F">
              <w:rPr>
                <w:rFonts w:eastAsia="Times New Roman" w:cs="Times New Roman"/>
                <w:bCs/>
                <w:sz w:val="20"/>
                <w:lang w:eastAsia="lv-LV"/>
              </w:rPr>
              <w:t xml:space="preserve">the commercial register of the </w:t>
            </w:r>
            <w:r w:rsidRPr="003F6B5F">
              <w:rPr>
                <w:rFonts w:eastAsia="Times New Roman" w:cs="Times New Roman"/>
                <w:bCs/>
                <w:sz w:val="20"/>
                <w:lang w:eastAsia="lv-LV"/>
              </w:rPr>
              <w:t xml:space="preserve">Register of Enterprises of the Republic of Latvia according to </w:t>
            </w:r>
            <w:r w:rsidR="00A77321" w:rsidRPr="003F6B5F">
              <w:rPr>
                <w:rFonts w:eastAsia="Times New Roman" w:cs="Times New Roman"/>
                <w:bCs/>
                <w:sz w:val="20"/>
                <w:lang w:eastAsia="lv-LV"/>
              </w:rPr>
              <w:t xml:space="preserve">provisions of </w:t>
            </w:r>
            <w:r w:rsidR="00652D75" w:rsidRPr="003F6B5F">
              <w:rPr>
                <w:rFonts w:eastAsia="Times New Roman" w:cs="Times New Roman"/>
                <w:bCs/>
                <w:sz w:val="20"/>
                <w:lang w:eastAsia="lv-LV"/>
              </w:rPr>
              <w:t>the Clause 261</w:t>
            </w:r>
            <w:r w:rsidR="00652D75" w:rsidRPr="003F6B5F">
              <w:rPr>
                <w:rFonts w:eastAsia="Times New Roman" w:cs="Times New Roman"/>
                <w:bCs/>
                <w:sz w:val="20"/>
                <w:vertAlign w:val="superscript"/>
                <w:lang w:eastAsia="lv-LV"/>
              </w:rPr>
              <w:t>1</w:t>
            </w:r>
            <w:r w:rsidR="00652D75" w:rsidRPr="003F6B5F">
              <w:rPr>
                <w:rFonts w:eastAsia="Times New Roman" w:cs="Times New Roman"/>
                <w:bCs/>
                <w:sz w:val="20"/>
                <w:lang w:eastAsia="lv-LV"/>
              </w:rPr>
              <w:t xml:space="preserve"> </w:t>
            </w:r>
            <w:r w:rsidR="00DB5D85" w:rsidRPr="003F6B5F">
              <w:rPr>
                <w:rFonts w:eastAsia="Times New Roman" w:cs="Times New Roman"/>
                <w:bCs/>
                <w:sz w:val="20"/>
                <w:lang w:eastAsia="lv-LV"/>
              </w:rPr>
              <w:t>Section</w:t>
            </w:r>
            <w:r w:rsidR="00652D75" w:rsidRPr="003F6B5F">
              <w:rPr>
                <w:rFonts w:eastAsia="Times New Roman" w:cs="Times New Roman"/>
                <w:bCs/>
                <w:sz w:val="20"/>
                <w:lang w:eastAsia="lv-LV"/>
              </w:rPr>
              <w:t xml:space="preserve"> 12 of the </w:t>
            </w:r>
            <w:r w:rsidRPr="003F6B5F">
              <w:rPr>
                <w:rFonts w:eastAsia="Times New Roman" w:cs="Times New Roman"/>
                <w:bCs/>
                <w:sz w:val="20"/>
                <w:lang w:eastAsia="lv-LV"/>
              </w:rPr>
              <w:t xml:space="preserve">Commercial </w:t>
            </w:r>
            <w:r w:rsidR="00652D75" w:rsidRPr="003F6B5F">
              <w:rPr>
                <w:rFonts w:eastAsia="Times New Roman" w:cs="Times New Roman"/>
                <w:bCs/>
                <w:sz w:val="20"/>
                <w:lang w:eastAsia="lv-LV"/>
              </w:rPr>
              <w:t>L</w:t>
            </w:r>
            <w:r w:rsidRPr="003F6B5F">
              <w:rPr>
                <w:rFonts w:eastAsia="Times New Roman" w:cs="Times New Roman"/>
                <w:bCs/>
                <w:sz w:val="20"/>
                <w:lang w:eastAsia="lv-LV"/>
              </w:rPr>
              <w:t>aw.</w:t>
            </w:r>
          </w:p>
        </w:tc>
      </w:tr>
      <w:tr w:rsidR="004D1416" w:rsidRPr="00FF13A8" w14:paraId="27D7685A" w14:textId="7E7DFD61" w:rsidTr="006F24B0">
        <w:trPr>
          <w:trHeight w:val="80"/>
          <w:jc w:val="center"/>
        </w:trPr>
        <w:tc>
          <w:tcPr>
            <w:tcW w:w="4436" w:type="dxa"/>
          </w:tcPr>
          <w:p w14:paraId="23EF2126" w14:textId="77777777" w:rsidR="004D1416" w:rsidRPr="00FF13A8" w:rsidRDefault="004D1416" w:rsidP="006C07E1">
            <w:pPr>
              <w:autoSpaceDE w:val="0"/>
              <w:autoSpaceDN w:val="0"/>
              <w:adjustRightInd w:val="0"/>
              <w:snapToGrid w:val="0"/>
              <w:spacing w:line="259" w:lineRule="auto"/>
              <w:jc w:val="both"/>
              <w:rPr>
                <w:rFonts w:eastAsia="Times New Roman" w:cs="Times New Roman"/>
                <w:bCs/>
                <w:sz w:val="20"/>
                <w:lang w:val="lv-LV" w:eastAsia="lv-LV"/>
              </w:rPr>
            </w:pPr>
          </w:p>
        </w:tc>
        <w:tc>
          <w:tcPr>
            <w:tcW w:w="4437" w:type="dxa"/>
          </w:tcPr>
          <w:p w14:paraId="426E63D4" w14:textId="77777777" w:rsidR="004D1416" w:rsidRPr="003F77C6" w:rsidRDefault="004D1416" w:rsidP="006C07E1">
            <w:pPr>
              <w:autoSpaceDE w:val="0"/>
              <w:autoSpaceDN w:val="0"/>
              <w:adjustRightInd w:val="0"/>
              <w:snapToGrid w:val="0"/>
              <w:spacing w:line="259" w:lineRule="auto"/>
              <w:jc w:val="both"/>
              <w:rPr>
                <w:rFonts w:eastAsia="Times New Roman" w:cs="Times New Roman"/>
                <w:bCs/>
                <w:sz w:val="20"/>
                <w:lang w:eastAsia="lv-LV"/>
              </w:rPr>
            </w:pPr>
          </w:p>
        </w:tc>
      </w:tr>
      <w:tr w:rsidR="004D1416" w:rsidRPr="00FF13A8" w14:paraId="417F608D" w14:textId="1FF8A3F2" w:rsidTr="006F24B0">
        <w:trPr>
          <w:trHeight w:val="80"/>
          <w:jc w:val="center"/>
        </w:trPr>
        <w:tc>
          <w:tcPr>
            <w:tcW w:w="4436" w:type="dxa"/>
          </w:tcPr>
          <w:p w14:paraId="0DCB0B5B" w14:textId="77777777" w:rsidR="004D1416" w:rsidRPr="00FF13A8" w:rsidRDefault="004D1416" w:rsidP="00391B39">
            <w:pPr>
              <w:numPr>
                <w:ilvl w:val="0"/>
                <w:numId w:val="16"/>
              </w:numPr>
              <w:autoSpaceDE w:val="0"/>
              <w:autoSpaceDN w:val="0"/>
              <w:adjustRightInd w:val="0"/>
              <w:snapToGrid w:val="0"/>
              <w:spacing w:after="120" w:line="259" w:lineRule="auto"/>
              <w:ind w:left="457"/>
              <w:jc w:val="center"/>
              <w:rPr>
                <w:rFonts w:eastAsia="Times New Roman" w:cs="Times New Roman"/>
                <w:b/>
                <w:bCs/>
                <w:sz w:val="20"/>
                <w:lang w:val="lv-LV" w:eastAsia="lv-LV"/>
              </w:rPr>
            </w:pPr>
            <w:r w:rsidRPr="00FF13A8">
              <w:rPr>
                <w:rFonts w:eastAsia="Times New Roman" w:cs="Times New Roman"/>
                <w:b/>
                <w:bCs/>
                <w:sz w:val="20"/>
                <w:lang w:val="lv-LV" w:eastAsia="lv-LV"/>
              </w:rPr>
              <w:t>PERSONU LOKS, KURĀM IR TIESĪBAS IEGŪT JAUNĀS EMISIJAS AKCIJAS</w:t>
            </w:r>
          </w:p>
        </w:tc>
        <w:tc>
          <w:tcPr>
            <w:tcW w:w="4437" w:type="dxa"/>
          </w:tcPr>
          <w:p w14:paraId="20B62BEB" w14:textId="25B2D126" w:rsidR="004D1416" w:rsidRPr="003F77C6" w:rsidRDefault="00B83772" w:rsidP="00E023C6">
            <w:pPr>
              <w:numPr>
                <w:ilvl w:val="0"/>
                <w:numId w:val="17"/>
              </w:numPr>
              <w:autoSpaceDE w:val="0"/>
              <w:autoSpaceDN w:val="0"/>
              <w:adjustRightInd w:val="0"/>
              <w:snapToGrid w:val="0"/>
              <w:spacing w:after="120" w:line="259" w:lineRule="auto"/>
              <w:jc w:val="center"/>
              <w:rPr>
                <w:rFonts w:eastAsia="Times New Roman" w:cs="Times New Roman"/>
                <w:b/>
                <w:bCs/>
                <w:sz w:val="20"/>
                <w:lang w:eastAsia="lv-LV"/>
              </w:rPr>
            </w:pPr>
            <w:r>
              <w:rPr>
                <w:rFonts w:eastAsia="Times New Roman" w:cs="Times New Roman"/>
                <w:b/>
                <w:bCs/>
                <w:sz w:val="20"/>
                <w:lang w:eastAsia="lv-LV"/>
              </w:rPr>
              <w:t>PERSONS ELIGIBLE TO RECEIVE THE NEWLY ISSUED SHARES</w:t>
            </w:r>
          </w:p>
        </w:tc>
      </w:tr>
      <w:tr w:rsidR="004D1416" w:rsidRPr="00FF13A8" w14:paraId="159AA85F" w14:textId="07BFA845" w:rsidTr="006F24B0">
        <w:trPr>
          <w:trHeight w:val="80"/>
          <w:jc w:val="center"/>
        </w:trPr>
        <w:tc>
          <w:tcPr>
            <w:tcW w:w="4436" w:type="dxa"/>
          </w:tcPr>
          <w:p w14:paraId="4EA7C76E" w14:textId="77777777" w:rsidR="004D1416" w:rsidRPr="00FF13A8" w:rsidRDefault="004D1416" w:rsidP="006C07E1">
            <w:pPr>
              <w:autoSpaceDE w:val="0"/>
              <w:autoSpaceDN w:val="0"/>
              <w:adjustRightInd w:val="0"/>
              <w:snapToGrid w:val="0"/>
              <w:spacing w:line="259" w:lineRule="auto"/>
              <w:rPr>
                <w:rFonts w:eastAsia="Times New Roman" w:cs="Times New Roman"/>
                <w:bCs/>
                <w:sz w:val="20"/>
                <w:lang w:val="lv-LV" w:eastAsia="lv-LV"/>
              </w:rPr>
            </w:pPr>
          </w:p>
        </w:tc>
        <w:tc>
          <w:tcPr>
            <w:tcW w:w="4437" w:type="dxa"/>
          </w:tcPr>
          <w:p w14:paraId="5EA726FF" w14:textId="77777777" w:rsidR="004D1416" w:rsidRPr="003F77C6" w:rsidRDefault="004D1416" w:rsidP="006C07E1">
            <w:pPr>
              <w:autoSpaceDE w:val="0"/>
              <w:autoSpaceDN w:val="0"/>
              <w:adjustRightInd w:val="0"/>
              <w:snapToGrid w:val="0"/>
              <w:spacing w:line="259" w:lineRule="auto"/>
              <w:rPr>
                <w:rFonts w:eastAsia="Times New Roman" w:cs="Times New Roman"/>
                <w:bCs/>
                <w:sz w:val="20"/>
                <w:lang w:eastAsia="lv-LV"/>
              </w:rPr>
            </w:pPr>
          </w:p>
        </w:tc>
      </w:tr>
      <w:tr w:rsidR="004D1416" w:rsidRPr="00FF13A8" w14:paraId="70AEEDC9" w14:textId="4D8FECDD" w:rsidTr="006F24B0">
        <w:trPr>
          <w:trHeight w:val="80"/>
          <w:jc w:val="center"/>
        </w:trPr>
        <w:tc>
          <w:tcPr>
            <w:tcW w:w="4436" w:type="dxa"/>
          </w:tcPr>
          <w:p w14:paraId="6939FD15" w14:textId="22B95B0C" w:rsidR="004D1416" w:rsidRPr="00FF13A8" w:rsidRDefault="004D1416" w:rsidP="00E023C6">
            <w:pPr>
              <w:numPr>
                <w:ilvl w:val="1"/>
                <w:numId w:val="17"/>
              </w:numPr>
              <w:autoSpaceDE w:val="0"/>
              <w:autoSpaceDN w:val="0"/>
              <w:adjustRightInd w:val="0"/>
              <w:snapToGrid w:val="0"/>
              <w:spacing w:after="120" w:line="259" w:lineRule="auto"/>
              <w:ind w:left="777"/>
              <w:jc w:val="both"/>
              <w:rPr>
                <w:rFonts w:eastAsia="Times New Roman" w:cs="Times New Roman"/>
                <w:bCs/>
                <w:sz w:val="20"/>
                <w:lang w:val="lv-LV" w:eastAsia="lv-LV"/>
              </w:rPr>
            </w:pPr>
            <w:r w:rsidRPr="00FF13A8">
              <w:rPr>
                <w:rFonts w:eastAsia="Times New Roman" w:cs="Times New Roman"/>
                <w:bCs/>
                <w:sz w:val="20"/>
                <w:lang w:val="lv-LV" w:eastAsia="lv-LV"/>
              </w:rPr>
              <w:t>Jaunās emisijas akcijas ir tiesīgi iegūt tikai Sabiedrības darbinieki – struktūrvienību vadītāji</w:t>
            </w:r>
            <w:r w:rsidR="00975833">
              <w:rPr>
                <w:rFonts w:eastAsia="Times New Roman" w:cs="Times New Roman"/>
                <w:bCs/>
                <w:sz w:val="20"/>
                <w:lang w:val="lv-LV" w:eastAsia="lv-LV"/>
              </w:rPr>
              <w:t xml:space="preserve"> </w:t>
            </w:r>
            <w:r w:rsidRPr="00FF13A8">
              <w:rPr>
                <w:rFonts w:eastAsia="Times New Roman" w:cs="Times New Roman"/>
                <w:bCs/>
                <w:sz w:val="20"/>
                <w:lang w:val="lv-LV" w:eastAsia="lv-LV"/>
              </w:rPr>
              <w:t xml:space="preserve">un padomes locekļi, kuri ir snieguši būtisku ieguldījumu </w:t>
            </w:r>
            <w:r w:rsidR="00D04817">
              <w:rPr>
                <w:rFonts w:eastAsia="Times New Roman" w:cs="Times New Roman"/>
                <w:bCs/>
                <w:sz w:val="20"/>
                <w:lang w:val="lv-LV" w:eastAsia="lv-LV"/>
              </w:rPr>
              <w:t>Sabiedrības</w:t>
            </w:r>
            <w:r w:rsidRPr="00FF13A8">
              <w:rPr>
                <w:rFonts w:eastAsia="Times New Roman" w:cs="Times New Roman"/>
                <w:bCs/>
                <w:sz w:val="20"/>
                <w:lang w:val="lv-LV" w:eastAsia="lv-LV"/>
              </w:rPr>
              <w:t xml:space="preserve"> biznesa attīstībā.</w:t>
            </w:r>
          </w:p>
        </w:tc>
        <w:tc>
          <w:tcPr>
            <w:tcW w:w="4437" w:type="dxa"/>
          </w:tcPr>
          <w:p w14:paraId="257EA72A" w14:textId="500E7FCB" w:rsidR="004D1416" w:rsidRPr="00B64BE8" w:rsidRDefault="00B56D27" w:rsidP="00E023C6">
            <w:pPr>
              <w:numPr>
                <w:ilvl w:val="1"/>
                <w:numId w:val="18"/>
              </w:numPr>
              <w:autoSpaceDE w:val="0"/>
              <w:autoSpaceDN w:val="0"/>
              <w:adjustRightInd w:val="0"/>
              <w:snapToGrid w:val="0"/>
              <w:spacing w:after="120" w:line="259" w:lineRule="auto"/>
              <w:ind w:left="702"/>
              <w:jc w:val="both"/>
              <w:rPr>
                <w:rFonts w:eastAsia="Times New Roman" w:cs="Times New Roman"/>
                <w:bCs/>
                <w:sz w:val="20"/>
                <w:lang w:eastAsia="lv-LV"/>
              </w:rPr>
            </w:pPr>
            <w:r w:rsidRPr="00B64BE8">
              <w:rPr>
                <w:rFonts w:eastAsia="Times New Roman" w:cs="Times New Roman"/>
                <w:bCs/>
                <w:sz w:val="20"/>
                <w:lang w:eastAsia="lv-LV"/>
              </w:rPr>
              <w:t xml:space="preserve">Only the </w:t>
            </w:r>
            <w:r w:rsidR="00BC535A" w:rsidRPr="00B64BE8">
              <w:rPr>
                <w:rFonts w:eastAsia="Times New Roman" w:cs="Times New Roman"/>
                <w:bCs/>
                <w:sz w:val="20"/>
                <w:lang w:eastAsia="lv-LV"/>
              </w:rPr>
              <w:t>employees of the Company, department managers and</w:t>
            </w:r>
            <w:r w:rsidR="00FE1549">
              <w:rPr>
                <w:rFonts w:eastAsia="Times New Roman" w:cs="Times New Roman"/>
                <w:bCs/>
                <w:sz w:val="20"/>
                <w:lang w:eastAsia="lv-LV"/>
              </w:rPr>
              <w:t xml:space="preserve"> </w:t>
            </w:r>
            <w:r w:rsidR="00BC535A" w:rsidRPr="00B64BE8">
              <w:rPr>
                <w:rFonts w:eastAsia="Times New Roman" w:cs="Times New Roman"/>
                <w:bCs/>
                <w:sz w:val="20"/>
                <w:lang w:eastAsia="lv-LV"/>
              </w:rPr>
              <w:t xml:space="preserve">Supervisory Board members, which have made a significant contribution to the </w:t>
            </w:r>
            <w:r w:rsidR="00307CA8" w:rsidRPr="00B64BE8">
              <w:rPr>
                <w:rFonts w:eastAsia="Times New Roman" w:cs="Times New Roman"/>
                <w:bCs/>
                <w:sz w:val="20"/>
                <w:lang w:eastAsia="lv-LV"/>
              </w:rPr>
              <w:t>business development</w:t>
            </w:r>
            <w:r w:rsidR="001B1389" w:rsidRPr="00B64BE8">
              <w:rPr>
                <w:rFonts w:eastAsia="Times New Roman" w:cs="Times New Roman"/>
                <w:bCs/>
                <w:sz w:val="20"/>
                <w:lang w:eastAsia="lv-LV"/>
              </w:rPr>
              <w:t xml:space="preserve"> of the Company</w:t>
            </w:r>
            <w:r w:rsidR="00307CA8" w:rsidRPr="00B64BE8">
              <w:rPr>
                <w:rFonts w:eastAsia="Times New Roman" w:cs="Times New Roman"/>
                <w:bCs/>
                <w:sz w:val="20"/>
                <w:lang w:eastAsia="lv-LV"/>
              </w:rPr>
              <w:t>,</w:t>
            </w:r>
            <w:r w:rsidR="00BC535A" w:rsidRPr="00B64BE8">
              <w:rPr>
                <w:rFonts w:eastAsia="Times New Roman" w:cs="Times New Roman"/>
                <w:bCs/>
                <w:sz w:val="20"/>
                <w:lang w:eastAsia="lv-LV"/>
              </w:rPr>
              <w:t xml:space="preserve"> are eligible to receive t</w:t>
            </w:r>
            <w:r w:rsidRPr="00B64BE8">
              <w:rPr>
                <w:rFonts w:eastAsia="Times New Roman" w:cs="Times New Roman"/>
                <w:bCs/>
                <w:sz w:val="20"/>
                <w:lang w:eastAsia="lv-LV"/>
              </w:rPr>
              <w:t>he newly issued shares</w:t>
            </w:r>
            <w:r w:rsidR="00D04817" w:rsidRPr="00B64BE8">
              <w:rPr>
                <w:rFonts w:eastAsia="Times New Roman" w:cs="Times New Roman"/>
                <w:bCs/>
                <w:sz w:val="20"/>
                <w:lang w:eastAsia="lv-LV"/>
              </w:rPr>
              <w:t>.</w:t>
            </w:r>
          </w:p>
        </w:tc>
      </w:tr>
      <w:tr w:rsidR="00E023C6" w:rsidRPr="00FF13A8" w14:paraId="6D64DF00" w14:textId="77777777" w:rsidTr="006F24B0">
        <w:trPr>
          <w:trHeight w:val="80"/>
          <w:jc w:val="center"/>
        </w:trPr>
        <w:tc>
          <w:tcPr>
            <w:tcW w:w="4436" w:type="dxa"/>
          </w:tcPr>
          <w:p w14:paraId="5FB86382" w14:textId="7DF39210" w:rsidR="00E023C6" w:rsidRPr="00384DA0" w:rsidRDefault="00E023C6" w:rsidP="00E023C6">
            <w:pPr>
              <w:numPr>
                <w:ilvl w:val="1"/>
                <w:numId w:val="17"/>
              </w:numPr>
              <w:autoSpaceDE w:val="0"/>
              <w:autoSpaceDN w:val="0"/>
              <w:adjustRightInd w:val="0"/>
              <w:snapToGrid w:val="0"/>
              <w:spacing w:after="120" w:line="259" w:lineRule="auto"/>
              <w:ind w:left="777"/>
              <w:jc w:val="both"/>
              <w:rPr>
                <w:rFonts w:eastAsia="Times New Roman" w:cs="Times New Roman"/>
                <w:bCs/>
                <w:sz w:val="20"/>
                <w:lang w:val="lv-LV" w:eastAsia="lv-LV"/>
              </w:rPr>
            </w:pPr>
            <w:r w:rsidRPr="00384DA0">
              <w:rPr>
                <w:rFonts w:eastAsia="Times New Roman" w:cs="Times New Roman"/>
                <w:bCs/>
                <w:sz w:val="20"/>
                <w:lang w:val="lv-LV" w:eastAsia="lv-LV"/>
              </w:rPr>
              <w:t>Personāla opciju turētāji iegūst personāla opcijas ar to piešķiršanas brīdi (proti, ar attiecīg</w:t>
            </w:r>
            <w:r w:rsidR="00305E07" w:rsidRPr="00384DA0">
              <w:rPr>
                <w:rFonts w:eastAsia="Times New Roman" w:cs="Times New Roman"/>
                <w:bCs/>
                <w:sz w:val="20"/>
                <w:lang w:val="lv-LV" w:eastAsia="lv-LV"/>
              </w:rPr>
              <w:t>ā</w:t>
            </w:r>
            <w:r w:rsidRPr="00384DA0">
              <w:rPr>
                <w:rFonts w:eastAsia="Times New Roman" w:cs="Times New Roman"/>
                <w:bCs/>
                <w:sz w:val="20"/>
                <w:lang w:val="lv-LV" w:eastAsia="lv-LV"/>
              </w:rPr>
              <w:t xml:space="preserve"> valdes lēmuma pieņemšanas brīdi). Personāla opciju turētāji konvertē tiem piešķirtās personāla opcijas uz Sabiedrības jaunās emisijas akcijām pēc 36 (trīsdesmit sešiem) mēnešiem no to iegūšanas brīža (</w:t>
            </w:r>
            <w:r w:rsidRPr="00384DA0">
              <w:rPr>
                <w:rFonts w:eastAsia="Times New Roman" w:cs="Times New Roman"/>
                <w:sz w:val="20"/>
                <w:lang w:val="lv-LV" w:eastAsia="lv-LV"/>
              </w:rPr>
              <w:t xml:space="preserve">turpmāk – </w:t>
            </w:r>
            <w:r w:rsidRPr="00384DA0">
              <w:rPr>
                <w:rFonts w:eastAsia="Times New Roman" w:cs="Times New Roman"/>
                <w:bCs/>
                <w:sz w:val="20"/>
                <w:lang w:val="lv-LV" w:eastAsia="lv-LV"/>
              </w:rPr>
              <w:t>“</w:t>
            </w:r>
            <w:r w:rsidRPr="00384DA0">
              <w:rPr>
                <w:rFonts w:eastAsia="Times New Roman" w:cs="Times New Roman"/>
                <w:b/>
                <w:bCs/>
                <w:sz w:val="20"/>
                <w:lang w:val="lv-LV" w:eastAsia="lv-LV"/>
              </w:rPr>
              <w:t>Turēšanas periods</w:t>
            </w:r>
            <w:r w:rsidRPr="00384DA0">
              <w:rPr>
                <w:rFonts w:eastAsia="Times New Roman" w:cs="Times New Roman"/>
                <w:bCs/>
                <w:sz w:val="20"/>
                <w:lang w:val="lv-LV" w:eastAsia="lv-LV"/>
              </w:rPr>
              <w:t xml:space="preserve">”). Pēc </w:t>
            </w:r>
            <w:r w:rsidRPr="00384DA0">
              <w:rPr>
                <w:rFonts w:eastAsia="Times New Roman" w:cs="Times New Roman"/>
                <w:bCs/>
                <w:sz w:val="20"/>
                <w:lang w:val="lv-LV" w:eastAsia="lv-LV"/>
              </w:rPr>
              <w:lastRenderedPageBreak/>
              <w:t xml:space="preserve">Turēšanas perioda beigām, personāla opciju turētājs ir tiesīgs iegūt tādu skaitu </w:t>
            </w:r>
            <w:r w:rsidR="00B044D7" w:rsidRPr="00384DA0">
              <w:rPr>
                <w:rFonts w:eastAsia="Times New Roman" w:cs="Times New Roman"/>
                <w:bCs/>
                <w:sz w:val="20"/>
                <w:lang w:val="lv-LV" w:eastAsia="lv-LV"/>
              </w:rPr>
              <w:t>Sabiedrības</w:t>
            </w:r>
            <w:r w:rsidRPr="00384DA0">
              <w:rPr>
                <w:rFonts w:eastAsia="Times New Roman" w:cs="Times New Roman"/>
                <w:bCs/>
                <w:sz w:val="20"/>
                <w:lang w:val="lv-LV" w:eastAsia="lv-LV"/>
              </w:rPr>
              <w:t xml:space="preserve"> akciju, cik tam ir piederējušas personāla opcijas, 30 (trīsdesmit) dienu laikā, sākot ar nākamo dienu, kad beidzas Turēšanas periods, par to iesniedzot pieteikumu </w:t>
            </w:r>
            <w:r w:rsidR="00456087" w:rsidRPr="00384DA0">
              <w:rPr>
                <w:rFonts w:eastAsia="Times New Roman" w:cs="Times New Roman"/>
                <w:bCs/>
                <w:sz w:val="20"/>
                <w:lang w:val="lv-LV" w:eastAsia="lv-LV"/>
              </w:rPr>
              <w:t>Sabiedrības</w:t>
            </w:r>
            <w:r w:rsidRPr="00384DA0">
              <w:rPr>
                <w:rFonts w:eastAsia="Times New Roman" w:cs="Times New Roman"/>
                <w:bCs/>
                <w:sz w:val="20"/>
                <w:lang w:val="lv-LV" w:eastAsia="lv-LV"/>
              </w:rPr>
              <w:t xml:space="preserve"> valdei.</w:t>
            </w:r>
          </w:p>
        </w:tc>
        <w:tc>
          <w:tcPr>
            <w:tcW w:w="4437" w:type="dxa"/>
          </w:tcPr>
          <w:p w14:paraId="3FCE6E29" w14:textId="06272FD6" w:rsidR="00E023C6" w:rsidRPr="00384DA0" w:rsidRDefault="005E386E" w:rsidP="00E023C6">
            <w:pPr>
              <w:numPr>
                <w:ilvl w:val="1"/>
                <w:numId w:val="18"/>
              </w:numPr>
              <w:autoSpaceDE w:val="0"/>
              <w:autoSpaceDN w:val="0"/>
              <w:adjustRightInd w:val="0"/>
              <w:snapToGrid w:val="0"/>
              <w:spacing w:after="120" w:line="259" w:lineRule="auto"/>
              <w:ind w:left="702"/>
              <w:jc w:val="both"/>
              <w:rPr>
                <w:rFonts w:eastAsia="Times New Roman" w:cs="Times New Roman"/>
                <w:bCs/>
                <w:sz w:val="20"/>
                <w:lang w:eastAsia="lv-LV"/>
              </w:rPr>
            </w:pPr>
            <w:r w:rsidRPr="00384DA0">
              <w:rPr>
                <w:rFonts w:eastAsia="Times New Roman" w:cs="Times New Roman"/>
                <w:bCs/>
                <w:sz w:val="20"/>
                <w:lang w:eastAsia="lv-LV"/>
              </w:rPr>
              <w:lastRenderedPageBreak/>
              <w:t>The holder</w:t>
            </w:r>
            <w:r w:rsidR="004E3A5E" w:rsidRPr="00384DA0">
              <w:rPr>
                <w:rFonts w:eastAsia="Times New Roman" w:cs="Times New Roman"/>
                <w:bCs/>
                <w:sz w:val="20"/>
                <w:lang w:eastAsia="lv-LV"/>
              </w:rPr>
              <w:t>s</w:t>
            </w:r>
            <w:r w:rsidRPr="00384DA0">
              <w:rPr>
                <w:rFonts w:eastAsia="Times New Roman" w:cs="Times New Roman"/>
                <w:bCs/>
                <w:sz w:val="20"/>
                <w:lang w:eastAsia="lv-LV"/>
              </w:rPr>
              <w:t xml:space="preserve"> of </w:t>
            </w:r>
            <w:r w:rsidR="00D300DB" w:rsidRPr="00384DA0">
              <w:rPr>
                <w:rFonts w:eastAsia="Times New Roman" w:cs="Times New Roman"/>
                <w:bCs/>
                <w:sz w:val="20"/>
                <w:lang w:eastAsia="lv-LV"/>
              </w:rPr>
              <w:t>p</w:t>
            </w:r>
            <w:r w:rsidR="00D300DB" w:rsidRPr="00384DA0">
              <w:rPr>
                <w:rFonts w:eastAsia="Times New Roman"/>
                <w:bCs/>
                <w:sz w:val="20"/>
                <w:lang w:eastAsia="lv-LV"/>
              </w:rPr>
              <w:t xml:space="preserve">ersonnel options </w:t>
            </w:r>
            <w:r w:rsidR="00B64BE8" w:rsidRPr="00384DA0">
              <w:rPr>
                <w:rFonts w:eastAsia="Times New Roman"/>
                <w:bCs/>
                <w:sz w:val="20"/>
                <w:lang w:eastAsia="lv-LV"/>
              </w:rPr>
              <w:t>receive</w:t>
            </w:r>
            <w:r w:rsidR="00D300DB" w:rsidRPr="00384DA0">
              <w:rPr>
                <w:rFonts w:eastAsia="Times New Roman"/>
                <w:bCs/>
                <w:sz w:val="20"/>
                <w:lang w:eastAsia="lv-LV"/>
              </w:rPr>
              <w:t xml:space="preserve"> the </w:t>
            </w:r>
            <w:r w:rsidR="00B64BE8" w:rsidRPr="00384DA0">
              <w:rPr>
                <w:rFonts w:eastAsia="Times New Roman" w:cs="Times New Roman"/>
                <w:bCs/>
                <w:sz w:val="20"/>
                <w:lang w:eastAsia="lv-LV"/>
              </w:rPr>
              <w:t>p</w:t>
            </w:r>
            <w:r w:rsidR="00B64BE8" w:rsidRPr="00384DA0">
              <w:rPr>
                <w:rFonts w:eastAsia="Times New Roman"/>
                <w:bCs/>
                <w:sz w:val="20"/>
                <w:lang w:eastAsia="lv-LV"/>
              </w:rPr>
              <w:t xml:space="preserve">ersonnel options as of the moment they are granted (namely, </w:t>
            </w:r>
            <w:r w:rsidR="004E3A5E" w:rsidRPr="00384DA0">
              <w:rPr>
                <w:rFonts w:eastAsia="Times New Roman"/>
                <w:bCs/>
                <w:sz w:val="20"/>
                <w:lang w:eastAsia="lv-LV"/>
              </w:rPr>
              <w:t xml:space="preserve">with the appropriate decision </w:t>
            </w:r>
            <w:r w:rsidR="00AA191E" w:rsidRPr="00384DA0">
              <w:rPr>
                <w:rFonts w:eastAsia="Times New Roman"/>
                <w:bCs/>
                <w:sz w:val="20"/>
                <w:lang w:eastAsia="lv-LV"/>
              </w:rPr>
              <w:t xml:space="preserve">adopted </w:t>
            </w:r>
            <w:r w:rsidR="004E3A5E" w:rsidRPr="00384DA0">
              <w:rPr>
                <w:rFonts w:eastAsia="Times New Roman"/>
                <w:bCs/>
                <w:sz w:val="20"/>
                <w:lang w:eastAsia="lv-LV"/>
              </w:rPr>
              <w:t>by the Management Board)</w:t>
            </w:r>
            <w:r w:rsidR="00AA191E" w:rsidRPr="00384DA0">
              <w:rPr>
                <w:rFonts w:eastAsia="Times New Roman"/>
                <w:bCs/>
                <w:sz w:val="20"/>
                <w:lang w:eastAsia="lv-LV"/>
              </w:rPr>
              <w:t xml:space="preserve">. </w:t>
            </w:r>
            <w:r w:rsidR="00305A76" w:rsidRPr="00384DA0">
              <w:rPr>
                <w:rFonts w:eastAsia="Times New Roman" w:cs="Times New Roman"/>
                <w:bCs/>
                <w:sz w:val="20"/>
                <w:lang w:eastAsia="lv-LV"/>
              </w:rPr>
              <w:t>The holders of p</w:t>
            </w:r>
            <w:r w:rsidR="00305A76" w:rsidRPr="00384DA0">
              <w:rPr>
                <w:rFonts w:eastAsia="Times New Roman"/>
                <w:bCs/>
                <w:sz w:val="20"/>
                <w:lang w:eastAsia="lv-LV"/>
              </w:rPr>
              <w:t xml:space="preserve">ersonnel options convert </w:t>
            </w:r>
            <w:r w:rsidR="00F60D70" w:rsidRPr="00384DA0">
              <w:rPr>
                <w:rFonts w:eastAsia="Times New Roman"/>
                <w:bCs/>
                <w:sz w:val="20"/>
                <w:lang w:eastAsia="lv-LV"/>
              </w:rPr>
              <w:t>the</w:t>
            </w:r>
            <w:r w:rsidR="00673CE8" w:rsidRPr="00384DA0">
              <w:rPr>
                <w:rFonts w:eastAsia="Times New Roman"/>
                <w:bCs/>
                <w:sz w:val="20"/>
                <w:lang w:eastAsia="lv-LV"/>
              </w:rPr>
              <w:t>ir</w:t>
            </w:r>
            <w:r w:rsidR="00F60D70" w:rsidRPr="00384DA0">
              <w:rPr>
                <w:rFonts w:eastAsia="Times New Roman"/>
                <w:bCs/>
                <w:sz w:val="20"/>
                <w:lang w:eastAsia="lv-LV"/>
              </w:rPr>
              <w:t xml:space="preserve"> </w:t>
            </w:r>
            <w:r w:rsidR="00F60D70" w:rsidRPr="00384DA0">
              <w:rPr>
                <w:rFonts w:eastAsia="Times New Roman" w:cs="Times New Roman"/>
                <w:bCs/>
                <w:sz w:val="20"/>
                <w:lang w:eastAsia="lv-LV"/>
              </w:rPr>
              <w:t>p</w:t>
            </w:r>
            <w:r w:rsidR="00F60D70" w:rsidRPr="00384DA0">
              <w:rPr>
                <w:rFonts w:eastAsia="Times New Roman"/>
                <w:bCs/>
                <w:sz w:val="20"/>
                <w:lang w:eastAsia="lv-LV"/>
              </w:rPr>
              <w:t xml:space="preserve">ersonnel options </w:t>
            </w:r>
            <w:r w:rsidR="00673CE8" w:rsidRPr="00384DA0">
              <w:rPr>
                <w:rFonts w:eastAsia="Times New Roman"/>
                <w:bCs/>
                <w:sz w:val="20"/>
                <w:lang w:eastAsia="lv-LV"/>
              </w:rPr>
              <w:t>to newly issued shares of the Company after 36 (thirty-six) months as of the</w:t>
            </w:r>
            <w:r w:rsidR="00FC27F4" w:rsidRPr="00384DA0">
              <w:rPr>
                <w:rFonts w:eastAsia="Times New Roman"/>
                <w:bCs/>
                <w:sz w:val="20"/>
                <w:lang w:eastAsia="lv-LV"/>
              </w:rPr>
              <w:t>ir</w:t>
            </w:r>
            <w:r w:rsidR="00673CE8" w:rsidRPr="00384DA0">
              <w:rPr>
                <w:rFonts w:eastAsia="Times New Roman"/>
                <w:bCs/>
                <w:sz w:val="20"/>
                <w:lang w:eastAsia="lv-LV"/>
              </w:rPr>
              <w:t xml:space="preserve"> receipt date </w:t>
            </w:r>
            <w:r w:rsidR="00673CE8" w:rsidRPr="00384DA0">
              <w:rPr>
                <w:rFonts w:eastAsia="Times New Roman" w:cs="Times New Roman"/>
                <w:bCs/>
                <w:sz w:val="20"/>
                <w:lang w:eastAsia="lv-LV"/>
              </w:rPr>
              <w:t>(hereinafter – the “</w:t>
            </w:r>
            <w:r w:rsidR="006D0CCE" w:rsidRPr="00384DA0">
              <w:rPr>
                <w:b/>
                <w:bCs/>
                <w:sz w:val="20"/>
              </w:rPr>
              <w:t>Holding</w:t>
            </w:r>
            <w:r w:rsidR="00673CE8" w:rsidRPr="00384DA0">
              <w:rPr>
                <w:b/>
                <w:bCs/>
                <w:sz w:val="20"/>
              </w:rPr>
              <w:t xml:space="preserve"> Period</w:t>
            </w:r>
            <w:r w:rsidR="00673CE8" w:rsidRPr="00384DA0">
              <w:rPr>
                <w:rFonts w:eastAsia="Times New Roman" w:cs="Times New Roman"/>
                <w:bCs/>
                <w:sz w:val="20"/>
                <w:lang w:eastAsia="lv-LV"/>
              </w:rPr>
              <w:t>”).</w:t>
            </w:r>
            <w:r w:rsidR="00C80063" w:rsidRPr="00384DA0">
              <w:rPr>
                <w:rFonts w:eastAsia="Times New Roman" w:cs="Times New Roman"/>
                <w:bCs/>
                <w:sz w:val="20"/>
                <w:lang w:eastAsia="lv-LV"/>
              </w:rPr>
              <w:t xml:space="preserve"> </w:t>
            </w:r>
            <w:r w:rsidR="00B044D7" w:rsidRPr="00384DA0">
              <w:rPr>
                <w:rFonts w:eastAsia="Times New Roman" w:cs="Times New Roman"/>
                <w:bCs/>
                <w:sz w:val="20"/>
                <w:lang w:eastAsia="lv-LV"/>
              </w:rPr>
              <w:t xml:space="preserve">After the </w:t>
            </w:r>
            <w:r w:rsidR="00B044D7" w:rsidRPr="00384DA0">
              <w:rPr>
                <w:rFonts w:eastAsia="Times New Roman" w:cs="Times New Roman"/>
                <w:bCs/>
                <w:sz w:val="20"/>
                <w:lang w:eastAsia="lv-LV"/>
              </w:rPr>
              <w:lastRenderedPageBreak/>
              <w:t>expiry of the Holding Period, the holder of p</w:t>
            </w:r>
            <w:r w:rsidR="00B044D7" w:rsidRPr="00384DA0">
              <w:rPr>
                <w:rFonts w:eastAsia="Times New Roman"/>
                <w:bCs/>
                <w:sz w:val="20"/>
                <w:lang w:eastAsia="lv-LV"/>
              </w:rPr>
              <w:t xml:space="preserve">ersonnel options is eligible to receive </w:t>
            </w:r>
            <w:r w:rsidR="009A6AC5" w:rsidRPr="00384DA0">
              <w:rPr>
                <w:rFonts w:eastAsia="Times New Roman"/>
                <w:bCs/>
                <w:sz w:val="20"/>
                <w:lang w:eastAsia="lv-LV"/>
              </w:rPr>
              <w:t xml:space="preserve">the amount of Company’s shares </w:t>
            </w:r>
            <w:r w:rsidR="00303963" w:rsidRPr="00384DA0">
              <w:rPr>
                <w:rFonts w:eastAsia="Times New Roman"/>
                <w:bCs/>
                <w:sz w:val="20"/>
                <w:lang w:eastAsia="lv-LV"/>
              </w:rPr>
              <w:t xml:space="preserve">which corresponds to its </w:t>
            </w:r>
            <w:r w:rsidR="00303963" w:rsidRPr="00384DA0">
              <w:rPr>
                <w:rFonts w:eastAsia="Times New Roman" w:cs="Times New Roman"/>
                <w:bCs/>
                <w:sz w:val="20"/>
                <w:lang w:eastAsia="lv-LV"/>
              </w:rPr>
              <w:t>p</w:t>
            </w:r>
            <w:r w:rsidR="00303963" w:rsidRPr="00384DA0">
              <w:rPr>
                <w:rFonts w:eastAsia="Times New Roman"/>
                <w:bCs/>
                <w:sz w:val="20"/>
                <w:lang w:eastAsia="lv-LV"/>
              </w:rPr>
              <w:t xml:space="preserve">ersonnel option amount, by </w:t>
            </w:r>
            <w:r w:rsidR="00733D64" w:rsidRPr="00384DA0">
              <w:rPr>
                <w:rFonts w:eastAsia="Times New Roman"/>
                <w:bCs/>
                <w:sz w:val="20"/>
                <w:lang w:eastAsia="lv-LV"/>
              </w:rPr>
              <w:t>submitting an application to the Management Board of the Company</w:t>
            </w:r>
            <w:r w:rsidR="008837C8" w:rsidRPr="00384DA0">
              <w:rPr>
                <w:rFonts w:eastAsia="Times New Roman"/>
                <w:bCs/>
                <w:sz w:val="20"/>
                <w:lang w:eastAsia="lv-LV"/>
              </w:rPr>
              <w:t xml:space="preserve"> </w:t>
            </w:r>
            <w:r w:rsidR="00A93CA5" w:rsidRPr="00384DA0">
              <w:rPr>
                <w:rFonts w:eastAsia="Times New Roman"/>
                <w:bCs/>
                <w:sz w:val="20"/>
                <w:lang w:eastAsia="lv-LV"/>
              </w:rPr>
              <w:t>during the next 30 (thirty) days</w:t>
            </w:r>
            <w:r w:rsidR="00CC3399" w:rsidRPr="00384DA0">
              <w:rPr>
                <w:rFonts w:eastAsia="Times New Roman"/>
                <w:bCs/>
                <w:sz w:val="20"/>
                <w:lang w:eastAsia="lv-LV"/>
              </w:rPr>
              <w:t>, starting from the next day</w:t>
            </w:r>
            <w:r w:rsidR="00A93CA5" w:rsidRPr="00384DA0">
              <w:rPr>
                <w:rFonts w:eastAsia="Times New Roman"/>
                <w:bCs/>
                <w:sz w:val="20"/>
                <w:lang w:eastAsia="lv-LV"/>
              </w:rPr>
              <w:t xml:space="preserve"> after </w:t>
            </w:r>
            <w:r w:rsidR="00A93CA5" w:rsidRPr="00384DA0">
              <w:rPr>
                <w:rFonts w:eastAsia="Times New Roman" w:cs="Times New Roman"/>
                <w:bCs/>
                <w:sz w:val="20"/>
                <w:lang w:eastAsia="lv-LV"/>
              </w:rPr>
              <w:t>the expiry of the Holding Period.</w:t>
            </w:r>
          </w:p>
        </w:tc>
      </w:tr>
      <w:tr w:rsidR="004D1416" w:rsidRPr="00FF13A8" w14:paraId="4E8A9CC2" w14:textId="4A2D8D25" w:rsidTr="006F24B0">
        <w:trPr>
          <w:trHeight w:val="80"/>
          <w:jc w:val="center"/>
        </w:trPr>
        <w:tc>
          <w:tcPr>
            <w:tcW w:w="4436" w:type="dxa"/>
          </w:tcPr>
          <w:p w14:paraId="544AA436" w14:textId="77777777" w:rsidR="004D1416" w:rsidRPr="00FF13A8" w:rsidRDefault="004D1416" w:rsidP="00A77EA7">
            <w:pPr>
              <w:autoSpaceDE w:val="0"/>
              <w:autoSpaceDN w:val="0"/>
              <w:adjustRightInd w:val="0"/>
              <w:snapToGrid w:val="0"/>
              <w:spacing w:line="280" w:lineRule="exact"/>
              <w:rPr>
                <w:b/>
                <w:sz w:val="20"/>
                <w:lang w:val="lv-LV"/>
              </w:rPr>
            </w:pPr>
          </w:p>
        </w:tc>
        <w:tc>
          <w:tcPr>
            <w:tcW w:w="4437" w:type="dxa"/>
          </w:tcPr>
          <w:p w14:paraId="508CB1FC" w14:textId="77777777" w:rsidR="004D1416" w:rsidRPr="003F77C6" w:rsidRDefault="004D1416" w:rsidP="00A77EA7">
            <w:pPr>
              <w:autoSpaceDE w:val="0"/>
              <w:autoSpaceDN w:val="0"/>
              <w:adjustRightInd w:val="0"/>
              <w:snapToGrid w:val="0"/>
              <w:spacing w:line="280" w:lineRule="exact"/>
              <w:rPr>
                <w:b/>
                <w:sz w:val="20"/>
              </w:rPr>
            </w:pPr>
          </w:p>
        </w:tc>
      </w:tr>
      <w:tr w:rsidR="004D1416" w:rsidRPr="00FF13A8" w14:paraId="17F45ABC" w14:textId="4094FFD1" w:rsidTr="006F24B0">
        <w:trPr>
          <w:trHeight w:val="80"/>
          <w:jc w:val="center"/>
        </w:trPr>
        <w:tc>
          <w:tcPr>
            <w:tcW w:w="4436" w:type="dxa"/>
          </w:tcPr>
          <w:p w14:paraId="36ACA2F5" w14:textId="77777777" w:rsidR="004D1416" w:rsidRPr="00FF13A8" w:rsidRDefault="004D1416" w:rsidP="00391B39">
            <w:pPr>
              <w:numPr>
                <w:ilvl w:val="0"/>
                <w:numId w:val="18"/>
              </w:numPr>
              <w:autoSpaceDE w:val="0"/>
              <w:autoSpaceDN w:val="0"/>
              <w:adjustRightInd w:val="0"/>
              <w:snapToGrid w:val="0"/>
              <w:spacing w:line="280" w:lineRule="exact"/>
              <w:ind w:left="457"/>
              <w:jc w:val="center"/>
              <w:rPr>
                <w:b/>
                <w:sz w:val="20"/>
              </w:rPr>
            </w:pPr>
            <w:r w:rsidRPr="00FF13A8">
              <w:rPr>
                <w:b/>
                <w:sz w:val="20"/>
              </w:rPr>
              <w:t>JAUNĀS</w:t>
            </w:r>
            <w:r w:rsidRPr="00FF13A8">
              <w:rPr>
                <w:b/>
                <w:sz w:val="20"/>
                <w:lang w:val="lv-LV"/>
              </w:rPr>
              <w:t xml:space="preserve"> EMISIJAS </w:t>
            </w:r>
            <w:r w:rsidRPr="00FF13A8">
              <w:rPr>
                <w:b/>
                <w:sz w:val="20"/>
              </w:rPr>
              <w:t>AKCIJU PĀRDOŠANAS CENA UN APMAKSAS VEIDS</w:t>
            </w:r>
          </w:p>
        </w:tc>
        <w:tc>
          <w:tcPr>
            <w:tcW w:w="4437" w:type="dxa"/>
          </w:tcPr>
          <w:p w14:paraId="2F26C4A7" w14:textId="04A32BC4" w:rsidR="004D1416" w:rsidRPr="003F77C6" w:rsidRDefault="0017645B" w:rsidP="00831FEB">
            <w:pPr>
              <w:numPr>
                <w:ilvl w:val="0"/>
                <w:numId w:val="19"/>
              </w:numPr>
              <w:autoSpaceDE w:val="0"/>
              <w:autoSpaceDN w:val="0"/>
              <w:adjustRightInd w:val="0"/>
              <w:snapToGrid w:val="0"/>
              <w:spacing w:line="280" w:lineRule="exact"/>
              <w:jc w:val="center"/>
              <w:rPr>
                <w:b/>
                <w:sz w:val="20"/>
              </w:rPr>
            </w:pPr>
            <w:r>
              <w:rPr>
                <w:b/>
                <w:sz w:val="20"/>
              </w:rPr>
              <w:t>PRICE AND PAYMENT TYPE OF THE NEWLY ISSUED SHARES</w:t>
            </w:r>
          </w:p>
        </w:tc>
      </w:tr>
      <w:tr w:rsidR="004D1416" w:rsidRPr="00FF13A8" w14:paraId="69A2F9F9" w14:textId="7D52F855" w:rsidTr="006F24B0">
        <w:trPr>
          <w:trHeight w:val="80"/>
          <w:jc w:val="center"/>
        </w:trPr>
        <w:tc>
          <w:tcPr>
            <w:tcW w:w="4436" w:type="dxa"/>
          </w:tcPr>
          <w:p w14:paraId="1449ADF3" w14:textId="77777777" w:rsidR="004D1416" w:rsidRPr="00FF13A8" w:rsidRDefault="004D1416" w:rsidP="0006622C">
            <w:pPr>
              <w:autoSpaceDE w:val="0"/>
              <w:autoSpaceDN w:val="0"/>
              <w:adjustRightInd w:val="0"/>
              <w:snapToGrid w:val="0"/>
              <w:spacing w:line="280" w:lineRule="exact"/>
              <w:rPr>
                <w:b/>
                <w:sz w:val="20"/>
              </w:rPr>
            </w:pPr>
          </w:p>
        </w:tc>
        <w:tc>
          <w:tcPr>
            <w:tcW w:w="4437" w:type="dxa"/>
          </w:tcPr>
          <w:p w14:paraId="730DC186" w14:textId="77777777" w:rsidR="004D1416" w:rsidRPr="003F77C6" w:rsidRDefault="004D1416" w:rsidP="0006622C">
            <w:pPr>
              <w:autoSpaceDE w:val="0"/>
              <w:autoSpaceDN w:val="0"/>
              <w:adjustRightInd w:val="0"/>
              <w:snapToGrid w:val="0"/>
              <w:spacing w:line="280" w:lineRule="exact"/>
              <w:rPr>
                <w:b/>
                <w:sz w:val="20"/>
              </w:rPr>
            </w:pPr>
          </w:p>
        </w:tc>
      </w:tr>
      <w:tr w:rsidR="004D1416" w:rsidRPr="00FF13A8" w14:paraId="7BC790B4" w14:textId="71C61A34" w:rsidTr="006F24B0">
        <w:trPr>
          <w:trHeight w:val="80"/>
          <w:jc w:val="center"/>
        </w:trPr>
        <w:tc>
          <w:tcPr>
            <w:tcW w:w="4436" w:type="dxa"/>
          </w:tcPr>
          <w:p w14:paraId="2C5CB63A" w14:textId="77777777" w:rsidR="004D1416" w:rsidRPr="00FF13A8" w:rsidRDefault="004D1416" w:rsidP="00831FEB">
            <w:pPr>
              <w:numPr>
                <w:ilvl w:val="1"/>
                <w:numId w:val="19"/>
              </w:numPr>
              <w:autoSpaceDE w:val="0"/>
              <w:autoSpaceDN w:val="0"/>
              <w:adjustRightInd w:val="0"/>
              <w:snapToGrid w:val="0"/>
              <w:spacing w:after="120" w:line="280" w:lineRule="exact"/>
              <w:ind w:left="743"/>
              <w:jc w:val="both"/>
              <w:rPr>
                <w:b/>
                <w:sz w:val="20"/>
              </w:rPr>
            </w:pPr>
            <w:r w:rsidRPr="00FF13A8">
              <w:rPr>
                <w:sz w:val="20"/>
                <w:lang w:val="lv-LV"/>
              </w:rPr>
              <w:t>Izlietojot personāla opcijas, personāla opciju turētāji iegūst jaunās emisijas akcijas bez maksas.</w:t>
            </w:r>
          </w:p>
        </w:tc>
        <w:tc>
          <w:tcPr>
            <w:tcW w:w="4437" w:type="dxa"/>
          </w:tcPr>
          <w:p w14:paraId="57E825B7" w14:textId="2B3FD842" w:rsidR="004D1416" w:rsidRPr="003F77C6" w:rsidRDefault="00840672" w:rsidP="00831FEB">
            <w:pPr>
              <w:numPr>
                <w:ilvl w:val="1"/>
                <w:numId w:val="20"/>
              </w:numPr>
              <w:autoSpaceDE w:val="0"/>
              <w:autoSpaceDN w:val="0"/>
              <w:adjustRightInd w:val="0"/>
              <w:snapToGrid w:val="0"/>
              <w:spacing w:after="120" w:line="280" w:lineRule="exact"/>
              <w:ind w:left="702"/>
              <w:jc w:val="both"/>
              <w:rPr>
                <w:sz w:val="20"/>
              </w:rPr>
            </w:pPr>
            <w:r>
              <w:rPr>
                <w:sz w:val="20"/>
              </w:rPr>
              <w:t xml:space="preserve">When converting </w:t>
            </w:r>
            <w:r w:rsidR="00237619">
              <w:rPr>
                <w:sz w:val="20"/>
              </w:rPr>
              <w:t>personnel options</w:t>
            </w:r>
            <w:r w:rsidR="00DC7EC6">
              <w:rPr>
                <w:sz w:val="20"/>
              </w:rPr>
              <w:t>, the holders of personnel options</w:t>
            </w:r>
            <w:r w:rsidR="00237619">
              <w:rPr>
                <w:sz w:val="20"/>
              </w:rPr>
              <w:t xml:space="preserve"> </w:t>
            </w:r>
            <w:r w:rsidR="005E386E" w:rsidRPr="005E386E">
              <w:rPr>
                <w:sz w:val="20"/>
              </w:rPr>
              <w:t>acquire the newly issued shares free of charge.</w:t>
            </w:r>
          </w:p>
        </w:tc>
      </w:tr>
      <w:tr w:rsidR="00831FEB" w:rsidRPr="00FF13A8" w14:paraId="22DA8297" w14:textId="77777777" w:rsidTr="006F24B0">
        <w:trPr>
          <w:trHeight w:val="80"/>
          <w:jc w:val="center"/>
        </w:trPr>
        <w:tc>
          <w:tcPr>
            <w:tcW w:w="4436" w:type="dxa"/>
          </w:tcPr>
          <w:p w14:paraId="2B6CE262" w14:textId="0C05DA74" w:rsidR="00831FEB" w:rsidRPr="00FF13A8" w:rsidRDefault="00831FEB" w:rsidP="00831FEB">
            <w:pPr>
              <w:numPr>
                <w:ilvl w:val="1"/>
                <w:numId w:val="19"/>
              </w:numPr>
              <w:autoSpaceDE w:val="0"/>
              <w:autoSpaceDN w:val="0"/>
              <w:adjustRightInd w:val="0"/>
              <w:snapToGrid w:val="0"/>
              <w:spacing w:after="120" w:line="280" w:lineRule="exact"/>
              <w:ind w:left="743"/>
              <w:jc w:val="both"/>
              <w:rPr>
                <w:sz w:val="20"/>
                <w:lang w:val="lv-LV"/>
              </w:rPr>
            </w:pPr>
            <w:r w:rsidRPr="00FF13A8">
              <w:rPr>
                <w:rFonts w:eastAsia="Calibri" w:cs="Times New Roman"/>
                <w:sz w:val="20"/>
                <w:lang w:val="lv-LV" w:eastAsia="en-US"/>
              </w:rPr>
              <w:t>Sabiedrība emitē akcijas uz Sabiedrības nesadalītās peļņas rēķina.</w:t>
            </w:r>
          </w:p>
        </w:tc>
        <w:tc>
          <w:tcPr>
            <w:tcW w:w="4437" w:type="dxa"/>
          </w:tcPr>
          <w:p w14:paraId="0B359D26" w14:textId="23A51982" w:rsidR="00831FEB" w:rsidRPr="003F77C6" w:rsidRDefault="005E386E" w:rsidP="00831FEB">
            <w:pPr>
              <w:numPr>
                <w:ilvl w:val="1"/>
                <w:numId w:val="20"/>
              </w:numPr>
              <w:autoSpaceDE w:val="0"/>
              <w:autoSpaceDN w:val="0"/>
              <w:adjustRightInd w:val="0"/>
              <w:snapToGrid w:val="0"/>
              <w:spacing w:after="120" w:line="280" w:lineRule="exact"/>
              <w:ind w:left="702"/>
              <w:jc w:val="both"/>
              <w:rPr>
                <w:sz w:val="20"/>
              </w:rPr>
            </w:pPr>
            <w:r w:rsidRPr="005E386E">
              <w:rPr>
                <w:sz w:val="20"/>
              </w:rPr>
              <w:t>Company issues new shares</w:t>
            </w:r>
            <w:r w:rsidR="00D6758E">
              <w:rPr>
                <w:sz w:val="20"/>
              </w:rPr>
              <w:t>,</w:t>
            </w:r>
            <w:r w:rsidRPr="005E386E">
              <w:rPr>
                <w:sz w:val="20"/>
              </w:rPr>
              <w:t xml:space="preserve"> using </w:t>
            </w:r>
            <w:r w:rsidR="002F3296">
              <w:rPr>
                <w:sz w:val="20"/>
              </w:rPr>
              <w:t xml:space="preserve">the </w:t>
            </w:r>
            <w:r w:rsidRPr="005E386E">
              <w:rPr>
                <w:sz w:val="20"/>
              </w:rPr>
              <w:t>retained profit</w:t>
            </w:r>
            <w:r w:rsidR="002F3296">
              <w:rPr>
                <w:sz w:val="20"/>
              </w:rPr>
              <w:t xml:space="preserve"> of the Company</w:t>
            </w:r>
            <w:r>
              <w:rPr>
                <w:sz w:val="20"/>
              </w:rPr>
              <w:t>.</w:t>
            </w:r>
          </w:p>
        </w:tc>
      </w:tr>
      <w:tr w:rsidR="00831FEB" w:rsidRPr="00FF13A8" w14:paraId="6340E93F" w14:textId="77777777" w:rsidTr="006F24B0">
        <w:trPr>
          <w:trHeight w:val="80"/>
          <w:jc w:val="center"/>
        </w:trPr>
        <w:tc>
          <w:tcPr>
            <w:tcW w:w="4436" w:type="dxa"/>
          </w:tcPr>
          <w:p w14:paraId="11BD9FF6" w14:textId="17C140A8" w:rsidR="00831FEB" w:rsidRPr="00384DA0" w:rsidRDefault="00831FEB" w:rsidP="00831FEB">
            <w:pPr>
              <w:numPr>
                <w:ilvl w:val="1"/>
                <w:numId w:val="19"/>
              </w:numPr>
              <w:autoSpaceDE w:val="0"/>
              <w:autoSpaceDN w:val="0"/>
              <w:adjustRightInd w:val="0"/>
              <w:snapToGrid w:val="0"/>
              <w:spacing w:after="120" w:line="280" w:lineRule="exact"/>
              <w:ind w:left="743"/>
              <w:jc w:val="both"/>
              <w:rPr>
                <w:sz w:val="20"/>
                <w:lang w:val="lv-LV"/>
              </w:rPr>
            </w:pPr>
            <w:r w:rsidRPr="00384DA0">
              <w:rPr>
                <w:rFonts w:eastAsia="Times New Roman" w:cs="Times New Roman"/>
                <w:bCs/>
                <w:sz w:val="20"/>
                <w:lang w:val="lv-LV" w:eastAsia="lv-LV"/>
              </w:rPr>
              <w:t>Visas Sabiedrības jaunās emisijas akcijas apmaksājamas naudā.</w:t>
            </w:r>
            <w:r w:rsidR="00910C6F" w:rsidRPr="00384DA0">
              <w:rPr>
                <w:rFonts w:eastAsia="Calibri" w:cs="Times New Roman"/>
                <w:sz w:val="20"/>
                <w:lang w:val="lv-LV" w:eastAsia="en-US"/>
              </w:rPr>
              <w:t xml:space="preserve"> Sabiedrība apmaksā jaunās emisijas akcijas 1 (viena) mēneša laikā no Sabiedrības valdes lēmuma par akciju emisiju un pamatkapitāla palielināšanu pieņemšanas brīža.</w:t>
            </w:r>
          </w:p>
        </w:tc>
        <w:tc>
          <w:tcPr>
            <w:tcW w:w="4437" w:type="dxa"/>
          </w:tcPr>
          <w:p w14:paraId="32AE495B" w14:textId="567C6EFF" w:rsidR="00831FEB" w:rsidRPr="00384DA0" w:rsidRDefault="00DA60F7" w:rsidP="00831FEB">
            <w:pPr>
              <w:numPr>
                <w:ilvl w:val="1"/>
                <w:numId w:val="20"/>
              </w:numPr>
              <w:autoSpaceDE w:val="0"/>
              <w:autoSpaceDN w:val="0"/>
              <w:adjustRightInd w:val="0"/>
              <w:snapToGrid w:val="0"/>
              <w:spacing w:after="120" w:line="280" w:lineRule="exact"/>
              <w:ind w:left="702"/>
              <w:jc w:val="both"/>
              <w:rPr>
                <w:sz w:val="20"/>
              </w:rPr>
            </w:pPr>
            <w:r w:rsidRPr="00384DA0">
              <w:rPr>
                <w:sz w:val="20"/>
              </w:rPr>
              <w:t xml:space="preserve">All of the newly issued shares of the Company shall be paid-up </w:t>
            </w:r>
            <w:r w:rsidR="00B31956" w:rsidRPr="00384DA0">
              <w:rPr>
                <w:sz w:val="20"/>
              </w:rPr>
              <w:t>by</w:t>
            </w:r>
            <w:r w:rsidRPr="00384DA0">
              <w:rPr>
                <w:sz w:val="20"/>
              </w:rPr>
              <w:t xml:space="preserve"> cash.</w:t>
            </w:r>
            <w:r w:rsidR="00910C6F" w:rsidRPr="00384DA0">
              <w:rPr>
                <w:sz w:val="20"/>
              </w:rPr>
              <w:t xml:space="preserve"> The Company pays-up the newly issued shares using retained profit during 1 (one) month after the Management Board of the Company adopts the decision on new share issue and share capital increase.</w:t>
            </w:r>
          </w:p>
        </w:tc>
      </w:tr>
      <w:tr w:rsidR="004D1416" w:rsidRPr="00FF13A8" w14:paraId="22CB362A" w14:textId="2F5F9777" w:rsidTr="006F24B0">
        <w:trPr>
          <w:trHeight w:val="80"/>
          <w:jc w:val="center"/>
        </w:trPr>
        <w:tc>
          <w:tcPr>
            <w:tcW w:w="4436" w:type="dxa"/>
          </w:tcPr>
          <w:p w14:paraId="0965D5E4" w14:textId="77777777" w:rsidR="004D1416" w:rsidRPr="00FF13A8" w:rsidRDefault="004D1416" w:rsidP="00971C02">
            <w:pPr>
              <w:autoSpaceDE w:val="0"/>
              <w:autoSpaceDN w:val="0"/>
              <w:adjustRightInd w:val="0"/>
              <w:snapToGrid w:val="0"/>
              <w:spacing w:line="280" w:lineRule="exact"/>
              <w:jc w:val="both"/>
              <w:rPr>
                <w:rFonts w:eastAsia="Times New Roman" w:cs="Times New Roman"/>
                <w:bCs/>
                <w:sz w:val="20"/>
                <w:lang w:val="lv-LV" w:eastAsia="lv-LV"/>
              </w:rPr>
            </w:pPr>
          </w:p>
        </w:tc>
        <w:tc>
          <w:tcPr>
            <w:tcW w:w="4437" w:type="dxa"/>
          </w:tcPr>
          <w:p w14:paraId="014269B4" w14:textId="77777777" w:rsidR="004D1416" w:rsidRPr="003F77C6" w:rsidRDefault="004D1416" w:rsidP="00971C02">
            <w:pPr>
              <w:autoSpaceDE w:val="0"/>
              <w:autoSpaceDN w:val="0"/>
              <w:adjustRightInd w:val="0"/>
              <w:snapToGrid w:val="0"/>
              <w:spacing w:line="280" w:lineRule="exact"/>
              <w:jc w:val="both"/>
              <w:rPr>
                <w:rFonts w:eastAsia="Times New Roman" w:cs="Times New Roman"/>
                <w:bCs/>
                <w:sz w:val="20"/>
                <w:lang w:eastAsia="lv-LV"/>
              </w:rPr>
            </w:pPr>
          </w:p>
        </w:tc>
      </w:tr>
      <w:tr w:rsidR="004D1416" w:rsidRPr="00FF13A8" w14:paraId="68C96074" w14:textId="6BDDDE14" w:rsidTr="006F24B0">
        <w:trPr>
          <w:trHeight w:val="80"/>
          <w:jc w:val="center"/>
        </w:trPr>
        <w:tc>
          <w:tcPr>
            <w:tcW w:w="4436" w:type="dxa"/>
          </w:tcPr>
          <w:p w14:paraId="68E9B4C9" w14:textId="77777777" w:rsidR="004D1416" w:rsidRPr="00FF13A8" w:rsidRDefault="004D1416" w:rsidP="00391B39">
            <w:pPr>
              <w:numPr>
                <w:ilvl w:val="0"/>
                <w:numId w:val="20"/>
              </w:numPr>
              <w:autoSpaceDE w:val="0"/>
              <w:autoSpaceDN w:val="0"/>
              <w:adjustRightInd w:val="0"/>
              <w:snapToGrid w:val="0"/>
              <w:spacing w:line="280" w:lineRule="exact"/>
              <w:ind w:left="457"/>
              <w:jc w:val="center"/>
              <w:rPr>
                <w:b/>
                <w:sz w:val="20"/>
              </w:rPr>
            </w:pPr>
            <w:r w:rsidRPr="00FF13A8">
              <w:rPr>
                <w:b/>
                <w:sz w:val="20"/>
              </w:rPr>
              <w:t>PAPILDUS INFORMĀCIJA</w:t>
            </w:r>
          </w:p>
        </w:tc>
        <w:tc>
          <w:tcPr>
            <w:tcW w:w="4437" w:type="dxa"/>
          </w:tcPr>
          <w:p w14:paraId="399D8E3E" w14:textId="4F19B9FE" w:rsidR="004D1416" w:rsidRPr="003F77C6" w:rsidRDefault="00803786" w:rsidP="005668D7">
            <w:pPr>
              <w:numPr>
                <w:ilvl w:val="0"/>
                <w:numId w:val="21"/>
              </w:numPr>
              <w:autoSpaceDE w:val="0"/>
              <w:autoSpaceDN w:val="0"/>
              <w:adjustRightInd w:val="0"/>
              <w:snapToGrid w:val="0"/>
              <w:spacing w:line="280" w:lineRule="exact"/>
              <w:jc w:val="center"/>
              <w:rPr>
                <w:b/>
                <w:sz w:val="20"/>
              </w:rPr>
            </w:pPr>
            <w:r>
              <w:rPr>
                <w:b/>
                <w:sz w:val="20"/>
              </w:rPr>
              <w:t>ADDITIONAL INFORMATION</w:t>
            </w:r>
          </w:p>
        </w:tc>
      </w:tr>
      <w:tr w:rsidR="004D1416" w:rsidRPr="00FF13A8" w14:paraId="06D4BC5D" w14:textId="6C66B1F8" w:rsidTr="006F24B0">
        <w:trPr>
          <w:trHeight w:val="77"/>
          <w:jc w:val="center"/>
        </w:trPr>
        <w:tc>
          <w:tcPr>
            <w:tcW w:w="4436" w:type="dxa"/>
          </w:tcPr>
          <w:p w14:paraId="10862F64" w14:textId="77777777" w:rsidR="004D1416" w:rsidRPr="00FF13A8" w:rsidRDefault="004D1416" w:rsidP="00A01FC2">
            <w:pPr>
              <w:autoSpaceDE w:val="0"/>
              <w:autoSpaceDN w:val="0"/>
              <w:adjustRightInd w:val="0"/>
              <w:snapToGrid w:val="0"/>
              <w:spacing w:line="280" w:lineRule="exact"/>
              <w:rPr>
                <w:b/>
                <w:sz w:val="20"/>
              </w:rPr>
            </w:pPr>
          </w:p>
        </w:tc>
        <w:tc>
          <w:tcPr>
            <w:tcW w:w="4437" w:type="dxa"/>
          </w:tcPr>
          <w:p w14:paraId="3AC661F1" w14:textId="77777777" w:rsidR="004D1416" w:rsidRPr="003F77C6" w:rsidRDefault="004D1416" w:rsidP="00A01FC2">
            <w:pPr>
              <w:autoSpaceDE w:val="0"/>
              <w:autoSpaceDN w:val="0"/>
              <w:adjustRightInd w:val="0"/>
              <w:snapToGrid w:val="0"/>
              <w:spacing w:line="280" w:lineRule="exact"/>
              <w:rPr>
                <w:b/>
                <w:sz w:val="20"/>
              </w:rPr>
            </w:pPr>
          </w:p>
        </w:tc>
      </w:tr>
      <w:tr w:rsidR="004D1416" w:rsidRPr="00FF13A8" w14:paraId="18BE0406" w14:textId="67A83549" w:rsidTr="006F24B0">
        <w:trPr>
          <w:trHeight w:val="80"/>
          <w:jc w:val="center"/>
        </w:trPr>
        <w:tc>
          <w:tcPr>
            <w:tcW w:w="4436" w:type="dxa"/>
          </w:tcPr>
          <w:p w14:paraId="2A4AF5A2" w14:textId="77777777" w:rsidR="004D1416" w:rsidRPr="00384DA0" w:rsidRDefault="004D1416" w:rsidP="005668D7">
            <w:pPr>
              <w:numPr>
                <w:ilvl w:val="1"/>
                <w:numId w:val="21"/>
              </w:numPr>
              <w:autoSpaceDE w:val="0"/>
              <w:autoSpaceDN w:val="0"/>
              <w:adjustRightInd w:val="0"/>
              <w:snapToGrid w:val="0"/>
              <w:spacing w:after="120" w:line="280" w:lineRule="exact"/>
              <w:ind w:left="743"/>
              <w:jc w:val="both"/>
              <w:rPr>
                <w:b/>
                <w:sz w:val="20"/>
              </w:rPr>
            </w:pPr>
            <w:r w:rsidRPr="00384DA0">
              <w:rPr>
                <w:rFonts w:eastAsia="Times New Roman" w:cs="Times New Roman"/>
                <w:bCs/>
                <w:sz w:val="20"/>
                <w:lang w:val="lv-LV" w:eastAsia="lv-LV"/>
              </w:rPr>
              <w:t>Saskaņā ar Latvijas Republikas Komerclikuma 253.panta pirmās daļas noteikumiem Sabiedrības esošajiem akcionāriem nav pirmtiesību iegādāties jaunās emisijas akcijas.</w:t>
            </w:r>
          </w:p>
        </w:tc>
        <w:tc>
          <w:tcPr>
            <w:tcW w:w="4437" w:type="dxa"/>
          </w:tcPr>
          <w:p w14:paraId="3B113073" w14:textId="76A72CBC" w:rsidR="004D1416" w:rsidRPr="00384DA0" w:rsidRDefault="003D1B7E" w:rsidP="00F73F1A">
            <w:pPr>
              <w:numPr>
                <w:ilvl w:val="1"/>
                <w:numId w:val="22"/>
              </w:numPr>
              <w:autoSpaceDE w:val="0"/>
              <w:autoSpaceDN w:val="0"/>
              <w:adjustRightInd w:val="0"/>
              <w:snapToGrid w:val="0"/>
              <w:spacing w:after="120" w:line="280" w:lineRule="exact"/>
              <w:ind w:left="702"/>
              <w:jc w:val="both"/>
              <w:rPr>
                <w:rFonts w:eastAsia="Times New Roman" w:cs="Times New Roman"/>
                <w:bCs/>
                <w:sz w:val="20"/>
                <w:lang w:eastAsia="lv-LV"/>
              </w:rPr>
            </w:pPr>
            <w:r w:rsidRPr="00384DA0">
              <w:rPr>
                <w:rFonts w:eastAsia="Times New Roman" w:cs="Times New Roman"/>
                <w:bCs/>
                <w:sz w:val="20"/>
                <w:lang w:eastAsia="lv-LV"/>
              </w:rPr>
              <w:t>In accordance</w:t>
            </w:r>
            <w:r w:rsidR="005E386E" w:rsidRPr="00384DA0">
              <w:rPr>
                <w:rFonts w:eastAsia="Times New Roman" w:cs="Times New Roman"/>
                <w:bCs/>
                <w:sz w:val="20"/>
                <w:lang w:eastAsia="lv-LV"/>
              </w:rPr>
              <w:t xml:space="preserve"> </w:t>
            </w:r>
            <w:r w:rsidRPr="00384DA0">
              <w:rPr>
                <w:rFonts w:eastAsia="Times New Roman" w:cs="Times New Roman"/>
                <w:bCs/>
                <w:sz w:val="20"/>
                <w:lang w:eastAsia="lv-LV"/>
              </w:rPr>
              <w:t xml:space="preserve">with the Clause 253, Section 1 of the </w:t>
            </w:r>
            <w:r w:rsidR="005E386E" w:rsidRPr="00384DA0">
              <w:rPr>
                <w:rFonts w:eastAsia="Times New Roman" w:cs="Times New Roman"/>
                <w:bCs/>
                <w:sz w:val="20"/>
                <w:lang w:eastAsia="lv-LV"/>
              </w:rPr>
              <w:t xml:space="preserve">Commercial </w:t>
            </w:r>
            <w:r w:rsidRPr="00384DA0">
              <w:rPr>
                <w:rFonts w:eastAsia="Times New Roman" w:cs="Times New Roman"/>
                <w:bCs/>
                <w:sz w:val="20"/>
                <w:lang w:eastAsia="lv-LV"/>
              </w:rPr>
              <w:t>L</w:t>
            </w:r>
            <w:r w:rsidR="005E386E" w:rsidRPr="00384DA0">
              <w:rPr>
                <w:rFonts w:eastAsia="Times New Roman" w:cs="Times New Roman"/>
                <w:bCs/>
                <w:sz w:val="20"/>
                <w:lang w:eastAsia="lv-LV"/>
              </w:rPr>
              <w:t>aw</w:t>
            </w:r>
            <w:r w:rsidRPr="00384DA0">
              <w:rPr>
                <w:rFonts w:eastAsia="Times New Roman" w:cs="Times New Roman"/>
                <w:bCs/>
                <w:sz w:val="20"/>
                <w:lang w:eastAsia="lv-LV"/>
              </w:rPr>
              <w:t xml:space="preserve"> of the Republic of Latvia,</w:t>
            </w:r>
            <w:r w:rsidR="005E386E" w:rsidRPr="00384DA0">
              <w:rPr>
                <w:rFonts w:eastAsia="Times New Roman" w:cs="Times New Roman"/>
                <w:bCs/>
                <w:sz w:val="20"/>
                <w:lang w:eastAsia="lv-LV"/>
              </w:rPr>
              <w:t xml:space="preserve"> the </w:t>
            </w:r>
            <w:r w:rsidRPr="00384DA0">
              <w:rPr>
                <w:rFonts w:eastAsia="Times New Roman" w:cs="Times New Roman"/>
                <w:bCs/>
                <w:sz w:val="20"/>
                <w:lang w:eastAsia="lv-LV"/>
              </w:rPr>
              <w:t>existing</w:t>
            </w:r>
            <w:r w:rsidR="005E386E" w:rsidRPr="00384DA0">
              <w:rPr>
                <w:rFonts w:eastAsia="Times New Roman" w:cs="Times New Roman"/>
                <w:bCs/>
                <w:sz w:val="20"/>
                <w:lang w:eastAsia="lv-LV"/>
              </w:rPr>
              <w:t xml:space="preserve"> shareholders </w:t>
            </w:r>
            <w:r w:rsidRPr="00384DA0">
              <w:rPr>
                <w:rFonts w:eastAsia="Times New Roman" w:cs="Times New Roman"/>
                <w:bCs/>
                <w:sz w:val="20"/>
                <w:lang w:eastAsia="lv-LV"/>
              </w:rPr>
              <w:t xml:space="preserve">of the Company </w:t>
            </w:r>
            <w:r w:rsidR="005E386E" w:rsidRPr="00384DA0">
              <w:rPr>
                <w:rFonts w:eastAsia="Times New Roman" w:cs="Times New Roman"/>
                <w:bCs/>
                <w:sz w:val="20"/>
                <w:lang w:eastAsia="lv-LV"/>
              </w:rPr>
              <w:t>do not have the pre-emptive right to acquire the newly issued shares.</w:t>
            </w:r>
          </w:p>
        </w:tc>
      </w:tr>
      <w:tr w:rsidR="00C8437D" w:rsidRPr="00FF13A8" w14:paraId="2AF11D26" w14:textId="77777777" w:rsidTr="006F24B0">
        <w:trPr>
          <w:trHeight w:val="80"/>
          <w:jc w:val="center"/>
        </w:trPr>
        <w:tc>
          <w:tcPr>
            <w:tcW w:w="4436" w:type="dxa"/>
          </w:tcPr>
          <w:p w14:paraId="3DB9ADA5" w14:textId="067C97B0" w:rsidR="00C8437D" w:rsidRPr="00FF13A8" w:rsidRDefault="00C8437D" w:rsidP="005668D7">
            <w:pPr>
              <w:numPr>
                <w:ilvl w:val="1"/>
                <w:numId w:val="21"/>
              </w:numPr>
              <w:autoSpaceDE w:val="0"/>
              <w:autoSpaceDN w:val="0"/>
              <w:adjustRightInd w:val="0"/>
              <w:snapToGrid w:val="0"/>
              <w:spacing w:after="120" w:line="280" w:lineRule="exact"/>
              <w:ind w:left="743"/>
              <w:jc w:val="both"/>
              <w:rPr>
                <w:rFonts w:eastAsia="Times New Roman" w:cs="Times New Roman"/>
                <w:bCs/>
                <w:sz w:val="20"/>
                <w:lang w:val="lv-LV" w:eastAsia="lv-LV"/>
              </w:rPr>
            </w:pPr>
            <w:r w:rsidRPr="00FF13A8">
              <w:rPr>
                <w:rFonts w:eastAsia="Times New Roman" w:cs="Times New Roman"/>
                <w:bCs/>
                <w:sz w:val="20"/>
                <w:lang w:val="lv-LV" w:eastAsia="lv-LV"/>
              </w:rPr>
              <w:t>Personāla opciju konversijas rezultātā iegūtās jaunās emisijas akcijas nav at</w:t>
            </w:r>
            <w:r w:rsidR="005C4C17">
              <w:rPr>
                <w:rFonts w:eastAsia="Times New Roman" w:cs="Times New Roman"/>
                <w:bCs/>
                <w:sz w:val="20"/>
                <w:lang w:val="lv-LV" w:eastAsia="lv-LV"/>
              </w:rPr>
              <w:t>sa</w:t>
            </w:r>
            <w:r w:rsidR="00671C06">
              <w:rPr>
                <w:rFonts w:eastAsia="Times New Roman" w:cs="Times New Roman"/>
                <w:bCs/>
                <w:sz w:val="20"/>
                <w:lang w:val="lv-LV" w:eastAsia="lv-LV"/>
              </w:rPr>
              <w:t>v</w:t>
            </w:r>
            <w:r w:rsidRPr="00FF13A8">
              <w:rPr>
                <w:rFonts w:eastAsia="Times New Roman" w:cs="Times New Roman"/>
                <w:bCs/>
                <w:sz w:val="20"/>
                <w:lang w:val="lv-LV" w:eastAsia="lv-LV"/>
              </w:rPr>
              <w:t>ināmas, kā arī tās nevar tikt mantotas.</w:t>
            </w:r>
          </w:p>
        </w:tc>
        <w:tc>
          <w:tcPr>
            <w:tcW w:w="4437" w:type="dxa"/>
          </w:tcPr>
          <w:p w14:paraId="1747721A" w14:textId="41CD75ED" w:rsidR="00C8437D" w:rsidRPr="003F77C6" w:rsidRDefault="00480F7C" w:rsidP="00F73F1A">
            <w:pPr>
              <w:numPr>
                <w:ilvl w:val="1"/>
                <w:numId w:val="22"/>
              </w:numPr>
              <w:autoSpaceDE w:val="0"/>
              <w:autoSpaceDN w:val="0"/>
              <w:adjustRightInd w:val="0"/>
              <w:snapToGrid w:val="0"/>
              <w:spacing w:after="120" w:line="280" w:lineRule="exact"/>
              <w:ind w:left="702"/>
              <w:jc w:val="both"/>
              <w:rPr>
                <w:rFonts w:eastAsia="Times New Roman" w:cs="Times New Roman"/>
                <w:bCs/>
                <w:sz w:val="20"/>
                <w:lang w:eastAsia="lv-LV"/>
              </w:rPr>
            </w:pPr>
            <w:r>
              <w:rPr>
                <w:rFonts w:eastAsia="Times New Roman" w:cs="Times New Roman"/>
                <w:bCs/>
                <w:sz w:val="20"/>
                <w:lang w:eastAsia="lv-LV"/>
              </w:rPr>
              <w:t>The new shares</w:t>
            </w:r>
            <w:r w:rsidR="001028E4">
              <w:rPr>
                <w:rFonts w:eastAsia="Times New Roman" w:cs="Times New Roman"/>
                <w:bCs/>
                <w:sz w:val="20"/>
                <w:lang w:eastAsia="lv-LV"/>
              </w:rPr>
              <w:t>,</w:t>
            </w:r>
            <w:r>
              <w:rPr>
                <w:rFonts w:eastAsia="Times New Roman" w:cs="Times New Roman"/>
                <w:bCs/>
                <w:sz w:val="20"/>
                <w:lang w:eastAsia="lv-LV"/>
              </w:rPr>
              <w:t xml:space="preserve"> obtained as of the result of the conversion of </w:t>
            </w:r>
            <w:r>
              <w:rPr>
                <w:sz w:val="20"/>
              </w:rPr>
              <w:t>personnel options</w:t>
            </w:r>
            <w:r w:rsidR="001028E4">
              <w:rPr>
                <w:sz w:val="20"/>
              </w:rPr>
              <w:t>, may not be alienated, as well as may not be inherited.</w:t>
            </w:r>
          </w:p>
        </w:tc>
      </w:tr>
      <w:tr w:rsidR="001A011B" w:rsidRPr="00FF13A8" w14:paraId="2A8DE71D" w14:textId="77777777" w:rsidTr="006F24B0">
        <w:trPr>
          <w:trHeight w:val="80"/>
          <w:jc w:val="center"/>
        </w:trPr>
        <w:tc>
          <w:tcPr>
            <w:tcW w:w="4436" w:type="dxa"/>
          </w:tcPr>
          <w:p w14:paraId="28624B47" w14:textId="62DFFC64" w:rsidR="001A011B" w:rsidRPr="00FF13A8" w:rsidRDefault="001A011B" w:rsidP="005668D7">
            <w:pPr>
              <w:numPr>
                <w:ilvl w:val="1"/>
                <w:numId w:val="21"/>
              </w:numPr>
              <w:autoSpaceDE w:val="0"/>
              <w:autoSpaceDN w:val="0"/>
              <w:adjustRightInd w:val="0"/>
              <w:snapToGrid w:val="0"/>
              <w:spacing w:after="120" w:line="280" w:lineRule="exact"/>
              <w:ind w:left="743"/>
              <w:jc w:val="both"/>
              <w:rPr>
                <w:rFonts w:eastAsia="Times New Roman" w:cs="Times New Roman"/>
                <w:bCs/>
                <w:sz w:val="20"/>
                <w:lang w:val="lv-LV" w:eastAsia="lv-LV"/>
              </w:rPr>
            </w:pPr>
            <w:r>
              <w:rPr>
                <w:rFonts w:eastAsia="Times New Roman" w:cs="Times New Roman"/>
                <w:bCs/>
                <w:sz w:val="20"/>
                <w:lang w:val="lv-LV" w:eastAsia="lv-LV"/>
              </w:rPr>
              <w:lastRenderedPageBreak/>
              <w:t>P</w:t>
            </w:r>
            <w:r w:rsidRPr="001A011B">
              <w:rPr>
                <w:rFonts w:eastAsia="Times New Roman" w:cs="Times New Roman"/>
                <w:bCs/>
                <w:sz w:val="20"/>
                <w:lang w:val="lv-LV" w:eastAsia="lv-LV"/>
              </w:rPr>
              <w:t xml:space="preserve">ersonāla opciju turētāji zaudē tiesības izlietot tiem piešķirtās personāla opcijas, ja darba tiesiskās attiecības starp </w:t>
            </w:r>
            <w:r>
              <w:rPr>
                <w:rFonts w:eastAsia="Times New Roman" w:cs="Times New Roman"/>
                <w:bCs/>
                <w:sz w:val="20"/>
                <w:lang w:val="lv-LV" w:eastAsia="lv-LV"/>
              </w:rPr>
              <w:t>Sabiedrību</w:t>
            </w:r>
            <w:r w:rsidRPr="001A011B">
              <w:rPr>
                <w:rFonts w:eastAsia="Times New Roman" w:cs="Times New Roman"/>
                <w:bCs/>
                <w:sz w:val="20"/>
                <w:lang w:val="lv-LV" w:eastAsia="lv-LV"/>
              </w:rPr>
              <w:t xml:space="preserve"> un personāla opciju turētāju izbeidzas, vai personāla opciju turētājs, kas ir </w:t>
            </w:r>
            <w:r>
              <w:rPr>
                <w:rFonts w:eastAsia="Times New Roman" w:cs="Times New Roman"/>
                <w:bCs/>
                <w:sz w:val="20"/>
                <w:lang w:val="lv-LV" w:eastAsia="lv-LV"/>
              </w:rPr>
              <w:t>Sabiedrības</w:t>
            </w:r>
            <w:r w:rsidRPr="001A011B">
              <w:rPr>
                <w:rFonts w:eastAsia="Times New Roman" w:cs="Times New Roman"/>
                <w:bCs/>
                <w:sz w:val="20"/>
                <w:lang w:val="lv-LV" w:eastAsia="lv-LV"/>
              </w:rPr>
              <w:t xml:space="preserve"> padomes loceklis, ir atsaukts vai atstājis amatu.</w:t>
            </w:r>
          </w:p>
        </w:tc>
        <w:tc>
          <w:tcPr>
            <w:tcW w:w="4437" w:type="dxa"/>
          </w:tcPr>
          <w:p w14:paraId="5DEEBB22" w14:textId="374447FA" w:rsidR="001A011B" w:rsidRDefault="001A011B" w:rsidP="00F73F1A">
            <w:pPr>
              <w:numPr>
                <w:ilvl w:val="1"/>
                <w:numId w:val="22"/>
              </w:numPr>
              <w:autoSpaceDE w:val="0"/>
              <w:autoSpaceDN w:val="0"/>
              <w:adjustRightInd w:val="0"/>
              <w:snapToGrid w:val="0"/>
              <w:spacing w:after="120" w:line="280" w:lineRule="exact"/>
              <w:ind w:left="702"/>
              <w:jc w:val="both"/>
              <w:rPr>
                <w:rFonts w:eastAsia="Times New Roman" w:cs="Times New Roman"/>
                <w:bCs/>
                <w:sz w:val="20"/>
                <w:lang w:eastAsia="lv-LV"/>
              </w:rPr>
            </w:pPr>
            <w:r>
              <w:rPr>
                <w:rFonts w:eastAsia="Times New Roman" w:cs="Times New Roman"/>
                <w:bCs/>
                <w:sz w:val="20"/>
                <w:lang w:eastAsia="lv-LV"/>
              </w:rPr>
              <w:t xml:space="preserve">The holders of </w:t>
            </w:r>
            <w:r>
              <w:rPr>
                <w:sz w:val="20"/>
              </w:rPr>
              <w:t xml:space="preserve">personnel options lose the right to convert the personnel options granted to them, in case the employment relations between the Company and the </w:t>
            </w:r>
            <w:r>
              <w:rPr>
                <w:rFonts w:eastAsia="Times New Roman" w:cs="Times New Roman"/>
                <w:bCs/>
                <w:sz w:val="20"/>
                <w:lang w:eastAsia="lv-LV"/>
              </w:rPr>
              <w:t xml:space="preserve">holder of </w:t>
            </w:r>
            <w:r>
              <w:rPr>
                <w:sz w:val="20"/>
              </w:rPr>
              <w:t xml:space="preserve">personnel options </w:t>
            </w:r>
            <w:r w:rsidR="00DD0031">
              <w:rPr>
                <w:sz w:val="20"/>
              </w:rPr>
              <w:t>have been</w:t>
            </w:r>
            <w:r>
              <w:rPr>
                <w:sz w:val="20"/>
              </w:rPr>
              <w:t xml:space="preserve"> terminated, or the </w:t>
            </w:r>
            <w:r>
              <w:rPr>
                <w:rFonts w:eastAsia="Times New Roman" w:cs="Times New Roman"/>
                <w:bCs/>
                <w:sz w:val="20"/>
                <w:lang w:eastAsia="lv-LV"/>
              </w:rPr>
              <w:t xml:space="preserve">holder of </w:t>
            </w:r>
            <w:r>
              <w:rPr>
                <w:sz w:val="20"/>
              </w:rPr>
              <w:t>personnel options that is also the Supervisory Board member, has been recalled or has relinquished his office.</w:t>
            </w:r>
          </w:p>
        </w:tc>
      </w:tr>
      <w:tr w:rsidR="004D1416" w:rsidRPr="00FF13A8" w14:paraId="3A9FE55E" w14:textId="5BC568C4" w:rsidTr="006F24B0">
        <w:trPr>
          <w:trHeight w:val="80"/>
          <w:jc w:val="center"/>
        </w:trPr>
        <w:tc>
          <w:tcPr>
            <w:tcW w:w="4436" w:type="dxa"/>
          </w:tcPr>
          <w:p w14:paraId="3F3DA2EB" w14:textId="77777777" w:rsidR="004D1416" w:rsidRPr="00FF13A8" w:rsidRDefault="004D1416" w:rsidP="00971C02">
            <w:pPr>
              <w:autoSpaceDE w:val="0"/>
              <w:autoSpaceDN w:val="0"/>
              <w:adjustRightInd w:val="0"/>
              <w:snapToGrid w:val="0"/>
              <w:spacing w:line="280" w:lineRule="exact"/>
              <w:rPr>
                <w:b/>
                <w:sz w:val="20"/>
                <w:lang w:val="lv-LV"/>
              </w:rPr>
            </w:pPr>
          </w:p>
        </w:tc>
        <w:tc>
          <w:tcPr>
            <w:tcW w:w="4437" w:type="dxa"/>
          </w:tcPr>
          <w:p w14:paraId="3F510876" w14:textId="77777777" w:rsidR="004D1416" w:rsidRPr="003F77C6" w:rsidRDefault="004D1416" w:rsidP="00971C02">
            <w:pPr>
              <w:autoSpaceDE w:val="0"/>
              <w:autoSpaceDN w:val="0"/>
              <w:adjustRightInd w:val="0"/>
              <w:snapToGrid w:val="0"/>
              <w:spacing w:line="280" w:lineRule="exact"/>
              <w:rPr>
                <w:b/>
                <w:sz w:val="20"/>
              </w:rPr>
            </w:pPr>
          </w:p>
        </w:tc>
      </w:tr>
      <w:tr w:rsidR="004D1416" w:rsidRPr="00FF13A8" w14:paraId="5FE0D4CD" w14:textId="22BE67DE" w:rsidTr="006F24B0">
        <w:trPr>
          <w:trHeight w:val="80"/>
          <w:jc w:val="center"/>
        </w:trPr>
        <w:tc>
          <w:tcPr>
            <w:tcW w:w="4436" w:type="dxa"/>
          </w:tcPr>
          <w:p w14:paraId="232F1261" w14:textId="5C67E05C" w:rsidR="004D1416" w:rsidRPr="00FF13A8" w:rsidRDefault="004D1416" w:rsidP="00971C02">
            <w:pPr>
              <w:autoSpaceDE w:val="0"/>
              <w:autoSpaceDN w:val="0"/>
              <w:adjustRightInd w:val="0"/>
              <w:snapToGrid w:val="0"/>
              <w:spacing w:line="280" w:lineRule="exact"/>
              <w:rPr>
                <w:sz w:val="20"/>
                <w:lang w:val="lv-LV"/>
              </w:rPr>
            </w:pPr>
            <w:r w:rsidRPr="00FF13A8">
              <w:rPr>
                <w:sz w:val="20"/>
                <w:lang w:val="lv-LV"/>
              </w:rPr>
              <w:t xml:space="preserve">Rīgā, </w:t>
            </w:r>
            <w:r w:rsidR="00B20FB8" w:rsidRPr="00CB468B">
              <w:rPr>
                <w:rFonts w:cs="Arial"/>
                <w:i/>
                <w:sz w:val="20"/>
              </w:rPr>
              <w:t>(DATUMU SKATĪT DOKUMENTA PARAKSTA LAIKA ZĪMOGĀ)</w:t>
            </w:r>
          </w:p>
        </w:tc>
        <w:tc>
          <w:tcPr>
            <w:tcW w:w="4437" w:type="dxa"/>
          </w:tcPr>
          <w:p w14:paraId="7DA370AF" w14:textId="18112AA7" w:rsidR="004D1416" w:rsidRPr="003F77C6" w:rsidRDefault="00BC77DC" w:rsidP="00971C02">
            <w:pPr>
              <w:autoSpaceDE w:val="0"/>
              <w:autoSpaceDN w:val="0"/>
              <w:adjustRightInd w:val="0"/>
              <w:snapToGrid w:val="0"/>
              <w:spacing w:line="280" w:lineRule="exact"/>
              <w:rPr>
                <w:sz w:val="20"/>
              </w:rPr>
            </w:pPr>
            <w:r>
              <w:rPr>
                <w:sz w:val="20"/>
              </w:rPr>
              <w:t>Riga,</w:t>
            </w:r>
            <w:r w:rsidR="006C1BCB">
              <w:rPr>
                <w:sz w:val="20"/>
              </w:rPr>
              <w:t xml:space="preserve"> </w:t>
            </w:r>
            <w:r w:rsidR="00B20FB8" w:rsidRPr="00CB468B">
              <w:rPr>
                <w:rFonts w:cs="Arial"/>
                <w:sz w:val="20"/>
              </w:rPr>
              <w:t>(</w:t>
            </w:r>
            <w:r w:rsidR="00B20FB8" w:rsidRPr="00CB468B">
              <w:rPr>
                <w:rFonts w:cs="Arial"/>
                <w:i/>
                <w:sz w:val="20"/>
              </w:rPr>
              <w:t>DATE INDICATED ON THE TIME STAMP OF SIGNATURE</w:t>
            </w:r>
            <w:r w:rsidR="00B20FB8" w:rsidRPr="00CB468B">
              <w:rPr>
                <w:rFonts w:cs="Arial"/>
                <w:sz w:val="20"/>
              </w:rPr>
              <w:t>)</w:t>
            </w:r>
          </w:p>
        </w:tc>
      </w:tr>
      <w:tr w:rsidR="004D1416" w:rsidRPr="00FF13A8" w14:paraId="61447100" w14:textId="0226DCE5" w:rsidTr="006F24B0">
        <w:trPr>
          <w:trHeight w:val="80"/>
          <w:jc w:val="center"/>
        </w:trPr>
        <w:tc>
          <w:tcPr>
            <w:tcW w:w="4436" w:type="dxa"/>
          </w:tcPr>
          <w:p w14:paraId="4F5093D7" w14:textId="77777777" w:rsidR="004D1416" w:rsidRPr="00FF13A8" w:rsidRDefault="004D1416" w:rsidP="00971C02">
            <w:pPr>
              <w:autoSpaceDE w:val="0"/>
              <w:autoSpaceDN w:val="0"/>
              <w:adjustRightInd w:val="0"/>
              <w:snapToGrid w:val="0"/>
              <w:spacing w:line="280" w:lineRule="exact"/>
              <w:rPr>
                <w:b/>
                <w:sz w:val="20"/>
                <w:lang w:val="lv-LV"/>
              </w:rPr>
            </w:pPr>
          </w:p>
        </w:tc>
        <w:tc>
          <w:tcPr>
            <w:tcW w:w="4437" w:type="dxa"/>
          </w:tcPr>
          <w:p w14:paraId="1A88BC4F" w14:textId="77777777" w:rsidR="004D1416" w:rsidRDefault="004D1416" w:rsidP="00971C02">
            <w:pPr>
              <w:autoSpaceDE w:val="0"/>
              <w:autoSpaceDN w:val="0"/>
              <w:adjustRightInd w:val="0"/>
              <w:snapToGrid w:val="0"/>
              <w:spacing w:line="280" w:lineRule="exact"/>
              <w:rPr>
                <w:b/>
                <w:sz w:val="20"/>
              </w:rPr>
            </w:pPr>
          </w:p>
          <w:p w14:paraId="27F4DF49" w14:textId="213572FB" w:rsidR="00DD6F33" w:rsidRPr="003F77C6" w:rsidRDefault="00DD6F33" w:rsidP="00971C02">
            <w:pPr>
              <w:autoSpaceDE w:val="0"/>
              <w:autoSpaceDN w:val="0"/>
              <w:adjustRightInd w:val="0"/>
              <w:snapToGrid w:val="0"/>
              <w:spacing w:line="280" w:lineRule="exact"/>
              <w:rPr>
                <w:b/>
                <w:sz w:val="20"/>
              </w:rPr>
            </w:pPr>
          </w:p>
        </w:tc>
      </w:tr>
      <w:tr w:rsidR="00894AC8" w:rsidRPr="00FF13A8" w14:paraId="7D81EA15" w14:textId="77777777" w:rsidTr="001F31EF">
        <w:trPr>
          <w:trHeight w:val="80"/>
          <w:jc w:val="center"/>
        </w:trPr>
        <w:tc>
          <w:tcPr>
            <w:tcW w:w="8873" w:type="dxa"/>
            <w:gridSpan w:val="2"/>
          </w:tcPr>
          <w:p w14:paraId="66EDE921" w14:textId="5AF08CD1" w:rsidR="003E7674" w:rsidRDefault="00894AC8" w:rsidP="00894AC8">
            <w:pPr>
              <w:pStyle w:val="Style6"/>
              <w:widowControl/>
              <w:spacing w:before="80" w:line="240" w:lineRule="auto"/>
              <w:ind w:firstLine="0"/>
              <w:jc w:val="center"/>
              <w:rPr>
                <w:rStyle w:val="FontStyle14"/>
                <w:rFonts w:ascii="Verdana" w:hAnsi="Verdana"/>
                <w:b/>
                <w:sz w:val="20"/>
                <w:szCs w:val="20"/>
              </w:rPr>
            </w:pPr>
            <w:r w:rsidRPr="00653656">
              <w:rPr>
                <w:rFonts w:ascii="Verdana" w:hAnsi="Verdana"/>
                <w:b/>
                <w:sz w:val="20"/>
                <w:szCs w:val="20"/>
                <w:lang w:val="en-GB"/>
              </w:rPr>
              <w:t xml:space="preserve">AS </w:t>
            </w:r>
            <w:r w:rsidRPr="00653656">
              <w:rPr>
                <w:rFonts w:ascii="Verdana" w:hAnsi="Verdana"/>
                <w:b/>
                <w:bCs/>
                <w:sz w:val="20"/>
                <w:szCs w:val="20"/>
                <w:lang w:val="en-GB"/>
              </w:rPr>
              <w:t>“MADARA Cosmetics”</w:t>
            </w:r>
            <w:r w:rsidRPr="00653656">
              <w:rPr>
                <w:rStyle w:val="FontStyle14"/>
                <w:rFonts w:ascii="Verdana" w:hAnsi="Verdana"/>
                <w:b/>
                <w:sz w:val="20"/>
                <w:szCs w:val="20"/>
              </w:rPr>
              <w:t xml:space="preserve"> vārdā</w:t>
            </w:r>
            <w:r w:rsidR="00C92B0A">
              <w:rPr>
                <w:rStyle w:val="FontStyle14"/>
                <w:rFonts w:ascii="Verdana" w:hAnsi="Verdana"/>
                <w:b/>
                <w:sz w:val="20"/>
                <w:szCs w:val="20"/>
              </w:rPr>
              <w:t xml:space="preserve"> </w:t>
            </w:r>
            <w:r>
              <w:rPr>
                <w:rStyle w:val="FontStyle14"/>
                <w:rFonts w:ascii="Verdana" w:hAnsi="Verdana"/>
                <w:b/>
                <w:sz w:val="20"/>
                <w:szCs w:val="20"/>
              </w:rPr>
              <w:t>/</w:t>
            </w:r>
          </w:p>
          <w:p w14:paraId="359057B7" w14:textId="6B81A042" w:rsidR="00894AC8" w:rsidRPr="00894AC8" w:rsidRDefault="00894AC8" w:rsidP="00894AC8">
            <w:pPr>
              <w:pStyle w:val="Style6"/>
              <w:widowControl/>
              <w:spacing w:before="80" w:line="240" w:lineRule="auto"/>
              <w:ind w:firstLine="0"/>
              <w:jc w:val="center"/>
              <w:rPr>
                <w:rFonts w:ascii="Verdana" w:hAnsi="Verdana"/>
                <w:sz w:val="20"/>
                <w:szCs w:val="20"/>
              </w:rPr>
            </w:pPr>
            <w:r>
              <w:rPr>
                <w:rStyle w:val="FontStyle14"/>
                <w:rFonts w:ascii="Verdana" w:hAnsi="Verdana"/>
                <w:b/>
                <w:sz w:val="20"/>
                <w:szCs w:val="20"/>
              </w:rPr>
              <w:t>O</w:t>
            </w:r>
            <w:r w:rsidRPr="009443B7">
              <w:rPr>
                <w:rStyle w:val="FontStyle14"/>
                <w:rFonts w:ascii="Verdana" w:hAnsi="Verdana"/>
                <w:b/>
                <w:sz w:val="20"/>
                <w:szCs w:val="20"/>
                <w:lang w:val="en-GB"/>
              </w:rPr>
              <w:t>n behalf of</w:t>
            </w:r>
            <w:r>
              <w:rPr>
                <w:rStyle w:val="FontStyle14"/>
                <w:rFonts w:ascii="Verdana" w:hAnsi="Verdana"/>
                <w:b/>
                <w:sz w:val="20"/>
                <w:szCs w:val="20"/>
                <w:lang w:val="en-GB"/>
              </w:rPr>
              <w:t xml:space="preserve"> </w:t>
            </w:r>
            <w:r w:rsidRPr="00653656">
              <w:rPr>
                <w:rFonts w:ascii="Verdana" w:hAnsi="Verdana"/>
                <w:b/>
                <w:sz w:val="20"/>
                <w:szCs w:val="20"/>
                <w:lang w:val="en-GB"/>
              </w:rPr>
              <w:t xml:space="preserve">AS </w:t>
            </w:r>
            <w:r w:rsidRPr="00653656">
              <w:rPr>
                <w:rFonts w:ascii="Verdana" w:hAnsi="Verdana"/>
                <w:b/>
                <w:bCs/>
                <w:sz w:val="20"/>
                <w:szCs w:val="20"/>
                <w:lang w:val="en-GB"/>
              </w:rPr>
              <w:t>“MADARA Cosmetics”</w:t>
            </w:r>
            <w:r>
              <w:rPr>
                <w:rFonts w:ascii="Verdana" w:hAnsi="Verdana"/>
                <w:b/>
                <w:bCs/>
                <w:sz w:val="20"/>
                <w:szCs w:val="20"/>
                <w:lang w:val="en-GB"/>
              </w:rPr>
              <w:t>:</w:t>
            </w:r>
          </w:p>
        </w:tc>
      </w:tr>
      <w:tr w:rsidR="00DA4B08" w:rsidRPr="00FF13A8" w14:paraId="101BA508" w14:textId="77777777" w:rsidTr="00A43BEF">
        <w:trPr>
          <w:trHeight w:val="80"/>
          <w:jc w:val="center"/>
        </w:trPr>
        <w:tc>
          <w:tcPr>
            <w:tcW w:w="8873" w:type="dxa"/>
            <w:gridSpan w:val="2"/>
          </w:tcPr>
          <w:p w14:paraId="479C230C" w14:textId="77777777" w:rsidR="00DA4B08" w:rsidRDefault="00DA4B08" w:rsidP="00940B2B">
            <w:pPr>
              <w:pStyle w:val="Style6"/>
              <w:widowControl/>
              <w:spacing w:before="80" w:line="240" w:lineRule="auto"/>
              <w:ind w:firstLine="0"/>
              <w:jc w:val="center"/>
              <w:rPr>
                <w:rFonts w:ascii="Verdana" w:hAnsi="Verdana"/>
                <w:b/>
                <w:sz w:val="20"/>
                <w:szCs w:val="20"/>
              </w:rPr>
            </w:pPr>
          </w:p>
          <w:p w14:paraId="1DE0E4A8" w14:textId="0AACF43A" w:rsidR="00D415CF" w:rsidRDefault="00D415CF" w:rsidP="00DD6F33">
            <w:pPr>
              <w:pStyle w:val="Style6"/>
              <w:widowControl/>
              <w:spacing w:before="80" w:line="240" w:lineRule="auto"/>
              <w:ind w:firstLine="0"/>
              <w:rPr>
                <w:rFonts w:ascii="Verdana" w:hAnsi="Verdana"/>
                <w:b/>
                <w:sz w:val="20"/>
                <w:szCs w:val="20"/>
              </w:rPr>
            </w:pPr>
          </w:p>
          <w:p w14:paraId="2821FA29" w14:textId="77777777" w:rsidR="00DD6F33" w:rsidRDefault="00DD6F33" w:rsidP="00DD6F33">
            <w:pPr>
              <w:pStyle w:val="Style6"/>
              <w:widowControl/>
              <w:spacing w:before="80" w:line="240" w:lineRule="auto"/>
              <w:ind w:firstLine="0"/>
              <w:rPr>
                <w:rFonts w:ascii="Verdana" w:hAnsi="Verdana"/>
                <w:b/>
                <w:sz w:val="20"/>
                <w:szCs w:val="20"/>
              </w:rPr>
            </w:pPr>
          </w:p>
          <w:p w14:paraId="405824B7" w14:textId="14AAA10E" w:rsidR="00DA4B08" w:rsidRPr="00DA4B08" w:rsidRDefault="00DA4B08" w:rsidP="00940B2B">
            <w:pPr>
              <w:pStyle w:val="Style6"/>
              <w:widowControl/>
              <w:spacing w:before="80" w:line="240" w:lineRule="auto"/>
              <w:ind w:firstLine="0"/>
              <w:jc w:val="center"/>
              <w:rPr>
                <w:rFonts w:ascii="Verdana" w:hAnsi="Verdana"/>
                <w:b/>
                <w:sz w:val="20"/>
                <w:szCs w:val="20"/>
              </w:rPr>
            </w:pPr>
            <w:r w:rsidRPr="00DA4B08">
              <w:rPr>
                <w:rFonts w:ascii="Verdana" w:hAnsi="Verdana"/>
                <w:b/>
                <w:sz w:val="20"/>
                <w:szCs w:val="20"/>
              </w:rPr>
              <w:t>Uldis Iltners</w:t>
            </w:r>
          </w:p>
          <w:p w14:paraId="48CD895E" w14:textId="4FB4821E" w:rsidR="00DA4B08" w:rsidRPr="00DA4B08" w:rsidRDefault="00DA4B08" w:rsidP="00DA4B08">
            <w:pPr>
              <w:pStyle w:val="Style6"/>
              <w:widowControl/>
              <w:spacing w:before="80" w:line="240" w:lineRule="auto"/>
              <w:ind w:firstLine="0"/>
              <w:jc w:val="center"/>
              <w:rPr>
                <w:rStyle w:val="FontStyle14"/>
                <w:rFonts w:ascii="Verdana" w:hAnsi="Verdana"/>
                <w:sz w:val="20"/>
                <w:szCs w:val="20"/>
              </w:rPr>
            </w:pPr>
            <w:r>
              <w:rPr>
                <w:rFonts w:ascii="Verdana" w:hAnsi="Verdana"/>
                <w:sz w:val="20"/>
                <w:szCs w:val="20"/>
              </w:rPr>
              <w:t>Valdes loceklis</w:t>
            </w:r>
            <w:r w:rsidR="00C92B0A">
              <w:rPr>
                <w:rFonts w:ascii="Verdana" w:hAnsi="Verdana"/>
                <w:sz w:val="20"/>
                <w:szCs w:val="20"/>
              </w:rPr>
              <w:t xml:space="preserve"> </w:t>
            </w:r>
            <w:r>
              <w:rPr>
                <w:rFonts w:ascii="Verdana" w:hAnsi="Verdana"/>
                <w:sz w:val="20"/>
                <w:szCs w:val="20"/>
              </w:rPr>
              <w:t xml:space="preserve">/ </w:t>
            </w:r>
            <w:r w:rsidRPr="00DD6F33">
              <w:rPr>
                <w:rFonts w:ascii="Verdana" w:hAnsi="Verdana"/>
                <w:sz w:val="20"/>
                <w:szCs w:val="20"/>
                <w:lang w:val="en-GB"/>
              </w:rPr>
              <w:t>Member of the Management Board</w:t>
            </w:r>
          </w:p>
        </w:tc>
      </w:tr>
      <w:tr w:rsidR="00B20FB8" w:rsidRPr="00FF13A8" w14:paraId="3F6055AC" w14:textId="77777777" w:rsidTr="00A43BEF">
        <w:trPr>
          <w:trHeight w:val="80"/>
          <w:jc w:val="center"/>
        </w:trPr>
        <w:tc>
          <w:tcPr>
            <w:tcW w:w="8873" w:type="dxa"/>
            <w:gridSpan w:val="2"/>
          </w:tcPr>
          <w:p w14:paraId="3CB0D198" w14:textId="77777777" w:rsidR="00B20FB8" w:rsidRDefault="00B20FB8" w:rsidP="00940B2B">
            <w:pPr>
              <w:pStyle w:val="Style6"/>
              <w:widowControl/>
              <w:spacing w:before="80" w:line="240" w:lineRule="auto"/>
              <w:ind w:firstLine="0"/>
              <w:jc w:val="center"/>
              <w:rPr>
                <w:rFonts w:ascii="Verdana" w:hAnsi="Verdana"/>
                <w:b/>
                <w:sz w:val="20"/>
                <w:szCs w:val="20"/>
              </w:rPr>
            </w:pPr>
          </w:p>
          <w:p w14:paraId="60470FC9" w14:textId="77777777" w:rsidR="00DD6F33" w:rsidRDefault="00DD6F33" w:rsidP="00940B2B">
            <w:pPr>
              <w:pStyle w:val="Style6"/>
              <w:widowControl/>
              <w:spacing w:before="80" w:line="240" w:lineRule="auto"/>
              <w:ind w:firstLine="0"/>
              <w:jc w:val="center"/>
              <w:rPr>
                <w:rFonts w:ascii="Verdana" w:hAnsi="Verdana"/>
                <w:b/>
                <w:sz w:val="20"/>
                <w:szCs w:val="20"/>
              </w:rPr>
            </w:pPr>
          </w:p>
          <w:p w14:paraId="7CE6DAAF" w14:textId="66658909" w:rsidR="00DD6F33" w:rsidRDefault="00DD6F33" w:rsidP="00940B2B">
            <w:pPr>
              <w:pStyle w:val="Style6"/>
              <w:widowControl/>
              <w:spacing w:before="80" w:line="240" w:lineRule="auto"/>
              <w:ind w:firstLine="0"/>
              <w:jc w:val="center"/>
              <w:rPr>
                <w:rFonts w:ascii="Verdana" w:hAnsi="Verdana"/>
                <w:b/>
                <w:sz w:val="20"/>
                <w:szCs w:val="20"/>
              </w:rPr>
            </w:pPr>
          </w:p>
        </w:tc>
      </w:tr>
      <w:tr w:rsidR="00B20FB8" w:rsidRPr="00DD6F33" w14:paraId="435762D2" w14:textId="77777777" w:rsidTr="00A43BEF">
        <w:trPr>
          <w:trHeight w:val="80"/>
          <w:jc w:val="center"/>
        </w:trPr>
        <w:tc>
          <w:tcPr>
            <w:tcW w:w="8873" w:type="dxa"/>
            <w:gridSpan w:val="2"/>
          </w:tcPr>
          <w:p w14:paraId="01701161" w14:textId="79993DBB" w:rsidR="00B20FB8" w:rsidRPr="00DD6F33" w:rsidRDefault="00B20FB8" w:rsidP="00940B2B">
            <w:pPr>
              <w:pStyle w:val="Style6"/>
              <w:widowControl/>
              <w:spacing w:before="80" w:line="240" w:lineRule="auto"/>
              <w:ind w:firstLine="0"/>
              <w:jc w:val="center"/>
              <w:rPr>
                <w:rFonts w:ascii="Verdana" w:hAnsi="Verdana"/>
                <w:bCs/>
                <w:sz w:val="20"/>
                <w:szCs w:val="20"/>
              </w:rPr>
            </w:pPr>
            <w:r w:rsidRPr="00DD6F33">
              <w:rPr>
                <w:rFonts w:ascii="Verdana" w:hAnsi="Verdana"/>
                <w:bCs/>
                <w:color w:val="000000"/>
                <w:sz w:val="20"/>
              </w:rPr>
              <w:t xml:space="preserve">ŠIS DOKUMENTS IR PARAKSTĪTS AR DROŠU ELEKTRONISKO PARAKSTU UN SATUR LAIKA ZĪMOGU / </w:t>
            </w:r>
            <w:r w:rsidRPr="00DD6F33">
              <w:rPr>
                <w:rFonts w:ascii="Verdana" w:hAnsi="Verdana"/>
                <w:bCs/>
                <w:color w:val="000000"/>
                <w:sz w:val="20"/>
                <w:lang w:val="en-GB"/>
              </w:rPr>
              <w:t>THIS DOCUMENT HAS BEEN SIGNED WITH A SECURE ELECTRONIC SIGNATURE AND CONTAINS A TIME STAMP</w:t>
            </w:r>
          </w:p>
        </w:tc>
      </w:tr>
    </w:tbl>
    <w:p w14:paraId="6C2939E4" w14:textId="77777777" w:rsidR="001A137E" w:rsidRPr="00FF13A8" w:rsidRDefault="001A137E" w:rsidP="00AA2AF9">
      <w:pPr>
        <w:spacing w:line="259" w:lineRule="auto"/>
        <w:rPr>
          <w:sz w:val="20"/>
          <w:lang w:val="lv-LV"/>
        </w:rPr>
      </w:pPr>
    </w:p>
    <w:sectPr w:rsidR="001A137E" w:rsidRPr="00FF13A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25BA6" w14:textId="77777777" w:rsidR="00BD0797" w:rsidRDefault="00BD0797" w:rsidP="00BD0797">
      <w:r>
        <w:separator/>
      </w:r>
    </w:p>
  </w:endnote>
  <w:endnote w:type="continuationSeparator" w:id="0">
    <w:p w14:paraId="33EC1153" w14:textId="77777777" w:rsidR="00BD0797" w:rsidRDefault="00BD0797" w:rsidP="00BD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364664"/>
      <w:docPartObj>
        <w:docPartGallery w:val="Page Numbers (Bottom of Page)"/>
        <w:docPartUnique/>
      </w:docPartObj>
    </w:sdtPr>
    <w:sdtEndPr>
      <w:rPr>
        <w:noProof/>
      </w:rPr>
    </w:sdtEndPr>
    <w:sdtContent>
      <w:p w14:paraId="0ED4AC17" w14:textId="52624FD5" w:rsidR="007A3A1D" w:rsidRDefault="007A3A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3DBBEA" w14:textId="77777777" w:rsidR="007A3A1D" w:rsidRDefault="007A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7D4EE" w14:textId="77777777" w:rsidR="00BD0797" w:rsidRDefault="00BD0797" w:rsidP="00BD0797">
      <w:r>
        <w:separator/>
      </w:r>
    </w:p>
  </w:footnote>
  <w:footnote w:type="continuationSeparator" w:id="0">
    <w:p w14:paraId="63BF8294" w14:textId="77777777" w:rsidR="00BD0797" w:rsidRDefault="00BD0797" w:rsidP="00BD0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0684"/>
    <w:multiLevelType w:val="multilevel"/>
    <w:tmpl w:val="8D4E7440"/>
    <w:lvl w:ilvl="0">
      <w:start w:val="5"/>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5467600"/>
    <w:multiLevelType w:val="multilevel"/>
    <w:tmpl w:val="65FE4C1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8084A69"/>
    <w:multiLevelType w:val="multilevel"/>
    <w:tmpl w:val="5F28EF1E"/>
    <w:lvl w:ilvl="0">
      <w:start w:val="7"/>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BAE4794"/>
    <w:multiLevelType w:val="multilevel"/>
    <w:tmpl w:val="6B54DA02"/>
    <w:lvl w:ilvl="0">
      <w:start w:val="4"/>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2ED4CEB"/>
    <w:multiLevelType w:val="multilevel"/>
    <w:tmpl w:val="65FE4C1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5B73320"/>
    <w:multiLevelType w:val="multilevel"/>
    <w:tmpl w:val="8D4E7440"/>
    <w:lvl w:ilvl="0">
      <w:start w:val="5"/>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6F43C0F"/>
    <w:multiLevelType w:val="multilevel"/>
    <w:tmpl w:val="054A4942"/>
    <w:lvl w:ilvl="0">
      <w:start w:val="3"/>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BD279EC"/>
    <w:multiLevelType w:val="multilevel"/>
    <w:tmpl w:val="65FE4C1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4547573"/>
    <w:multiLevelType w:val="multilevel"/>
    <w:tmpl w:val="65FE4C1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16650A1"/>
    <w:multiLevelType w:val="multilevel"/>
    <w:tmpl w:val="A406FC3E"/>
    <w:lvl w:ilvl="0">
      <w:start w:val="2"/>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327854CA"/>
    <w:multiLevelType w:val="multilevel"/>
    <w:tmpl w:val="054A4942"/>
    <w:lvl w:ilvl="0">
      <w:start w:val="3"/>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C20502A"/>
    <w:multiLevelType w:val="multilevel"/>
    <w:tmpl w:val="6B54DA02"/>
    <w:lvl w:ilvl="0">
      <w:start w:val="4"/>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EA3406C"/>
    <w:multiLevelType w:val="multilevel"/>
    <w:tmpl w:val="65FE4C1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44B17FAF"/>
    <w:multiLevelType w:val="multilevel"/>
    <w:tmpl w:val="65FE4C1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45923A18"/>
    <w:multiLevelType w:val="multilevel"/>
    <w:tmpl w:val="52304BE2"/>
    <w:lvl w:ilvl="0">
      <w:start w:val="6"/>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577907ED"/>
    <w:multiLevelType w:val="multilevel"/>
    <w:tmpl w:val="52304BE2"/>
    <w:lvl w:ilvl="0">
      <w:start w:val="6"/>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6FAC6C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5E035A"/>
    <w:multiLevelType w:val="multilevel"/>
    <w:tmpl w:val="054A4942"/>
    <w:lvl w:ilvl="0">
      <w:start w:val="3"/>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56A360C"/>
    <w:multiLevelType w:val="multilevel"/>
    <w:tmpl w:val="A406FC3E"/>
    <w:lvl w:ilvl="0">
      <w:start w:val="2"/>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5BA3D80"/>
    <w:multiLevelType w:val="hybridMultilevel"/>
    <w:tmpl w:val="488ED2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953498B"/>
    <w:multiLevelType w:val="multilevel"/>
    <w:tmpl w:val="5F28EF1E"/>
    <w:lvl w:ilvl="0">
      <w:start w:val="7"/>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7B890928"/>
    <w:multiLevelType w:val="multilevel"/>
    <w:tmpl w:val="43B8774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7"/>
  </w:num>
  <w:num w:numId="2">
    <w:abstractNumId w:val="16"/>
  </w:num>
  <w:num w:numId="3">
    <w:abstractNumId w:val="13"/>
  </w:num>
  <w:num w:numId="4">
    <w:abstractNumId w:val="12"/>
  </w:num>
  <w:num w:numId="5">
    <w:abstractNumId w:val="21"/>
  </w:num>
  <w:num w:numId="6">
    <w:abstractNumId w:val="19"/>
  </w:num>
  <w:num w:numId="7">
    <w:abstractNumId w:val="4"/>
  </w:num>
  <w:num w:numId="8">
    <w:abstractNumId w:val="8"/>
  </w:num>
  <w:num w:numId="9">
    <w:abstractNumId w:val="1"/>
  </w:num>
  <w:num w:numId="10">
    <w:abstractNumId w:val="9"/>
  </w:num>
  <w:num w:numId="11">
    <w:abstractNumId w:val="18"/>
  </w:num>
  <w:num w:numId="12">
    <w:abstractNumId w:val="17"/>
  </w:num>
  <w:num w:numId="13">
    <w:abstractNumId w:val="10"/>
  </w:num>
  <w:num w:numId="14">
    <w:abstractNumId w:val="6"/>
  </w:num>
  <w:num w:numId="15">
    <w:abstractNumId w:val="3"/>
  </w:num>
  <w:num w:numId="16">
    <w:abstractNumId w:val="11"/>
  </w:num>
  <w:num w:numId="17">
    <w:abstractNumId w:val="5"/>
  </w:num>
  <w:num w:numId="18">
    <w:abstractNumId w:val="0"/>
  </w:num>
  <w:num w:numId="19">
    <w:abstractNumId w:val="14"/>
  </w:num>
  <w:num w:numId="20">
    <w:abstractNumId w:val="15"/>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6B"/>
    <w:rsid w:val="00001F88"/>
    <w:rsid w:val="00010A4F"/>
    <w:rsid w:val="000163A8"/>
    <w:rsid w:val="0002434F"/>
    <w:rsid w:val="0004133B"/>
    <w:rsid w:val="000461CC"/>
    <w:rsid w:val="00051673"/>
    <w:rsid w:val="0006158B"/>
    <w:rsid w:val="00062883"/>
    <w:rsid w:val="00064499"/>
    <w:rsid w:val="0006622C"/>
    <w:rsid w:val="00070FA2"/>
    <w:rsid w:val="00084751"/>
    <w:rsid w:val="00084EFB"/>
    <w:rsid w:val="00085023"/>
    <w:rsid w:val="000858EA"/>
    <w:rsid w:val="000934BF"/>
    <w:rsid w:val="000937F3"/>
    <w:rsid w:val="00094742"/>
    <w:rsid w:val="00095783"/>
    <w:rsid w:val="00097C27"/>
    <w:rsid w:val="000B14DE"/>
    <w:rsid w:val="000B4987"/>
    <w:rsid w:val="000B5AF4"/>
    <w:rsid w:val="000C0697"/>
    <w:rsid w:val="000D1FF1"/>
    <w:rsid w:val="000D4E6C"/>
    <w:rsid w:val="000E1E50"/>
    <w:rsid w:val="000E5B0D"/>
    <w:rsid w:val="000E7F53"/>
    <w:rsid w:val="000F19E8"/>
    <w:rsid w:val="000F4866"/>
    <w:rsid w:val="000F6908"/>
    <w:rsid w:val="00101256"/>
    <w:rsid w:val="001028E4"/>
    <w:rsid w:val="00102EBF"/>
    <w:rsid w:val="00106AD8"/>
    <w:rsid w:val="00113101"/>
    <w:rsid w:val="0011480B"/>
    <w:rsid w:val="00117C39"/>
    <w:rsid w:val="00117E72"/>
    <w:rsid w:val="00133667"/>
    <w:rsid w:val="001430D3"/>
    <w:rsid w:val="0014395A"/>
    <w:rsid w:val="00144F55"/>
    <w:rsid w:val="00154058"/>
    <w:rsid w:val="001651E8"/>
    <w:rsid w:val="00165F0F"/>
    <w:rsid w:val="00171E84"/>
    <w:rsid w:val="001738E8"/>
    <w:rsid w:val="00173E29"/>
    <w:rsid w:val="0017645B"/>
    <w:rsid w:val="00176898"/>
    <w:rsid w:val="001809FE"/>
    <w:rsid w:val="00180B63"/>
    <w:rsid w:val="00181F73"/>
    <w:rsid w:val="0019316B"/>
    <w:rsid w:val="001A011B"/>
    <w:rsid w:val="001A10C6"/>
    <w:rsid w:val="001A137E"/>
    <w:rsid w:val="001B1389"/>
    <w:rsid w:val="001C281A"/>
    <w:rsid w:val="001C51C3"/>
    <w:rsid w:val="001C5354"/>
    <w:rsid w:val="001C60F7"/>
    <w:rsid w:val="001D31A3"/>
    <w:rsid w:val="001F59DE"/>
    <w:rsid w:val="00201470"/>
    <w:rsid w:val="0020173B"/>
    <w:rsid w:val="00212634"/>
    <w:rsid w:val="002151C9"/>
    <w:rsid w:val="0021675E"/>
    <w:rsid w:val="0021760A"/>
    <w:rsid w:val="00232B6F"/>
    <w:rsid w:val="00237619"/>
    <w:rsid w:val="00244E54"/>
    <w:rsid w:val="00251514"/>
    <w:rsid w:val="0025276A"/>
    <w:rsid w:val="00256E86"/>
    <w:rsid w:val="00262F5B"/>
    <w:rsid w:val="00263A97"/>
    <w:rsid w:val="0027208E"/>
    <w:rsid w:val="0027258B"/>
    <w:rsid w:val="0027367D"/>
    <w:rsid w:val="002806BB"/>
    <w:rsid w:val="00280DD4"/>
    <w:rsid w:val="00281DF6"/>
    <w:rsid w:val="0028222F"/>
    <w:rsid w:val="00286ACE"/>
    <w:rsid w:val="00296E5A"/>
    <w:rsid w:val="002B1CF3"/>
    <w:rsid w:val="002B38D1"/>
    <w:rsid w:val="002B49A9"/>
    <w:rsid w:val="002B52A2"/>
    <w:rsid w:val="002B5FC1"/>
    <w:rsid w:val="002B6133"/>
    <w:rsid w:val="002C08D9"/>
    <w:rsid w:val="002C1709"/>
    <w:rsid w:val="002C468C"/>
    <w:rsid w:val="002D0807"/>
    <w:rsid w:val="002D3406"/>
    <w:rsid w:val="002D670A"/>
    <w:rsid w:val="002E16B3"/>
    <w:rsid w:val="002E3330"/>
    <w:rsid w:val="002E762B"/>
    <w:rsid w:val="002F0B17"/>
    <w:rsid w:val="002F3296"/>
    <w:rsid w:val="00302243"/>
    <w:rsid w:val="00303963"/>
    <w:rsid w:val="00305A76"/>
    <w:rsid w:val="00305E07"/>
    <w:rsid w:val="0030742A"/>
    <w:rsid w:val="00307CA8"/>
    <w:rsid w:val="00320FFB"/>
    <w:rsid w:val="003306A5"/>
    <w:rsid w:val="0033164E"/>
    <w:rsid w:val="0033224E"/>
    <w:rsid w:val="0033450D"/>
    <w:rsid w:val="003567B1"/>
    <w:rsid w:val="00371014"/>
    <w:rsid w:val="003732A1"/>
    <w:rsid w:val="00374941"/>
    <w:rsid w:val="00376177"/>
    <w:rsid w:val="00376A20"/>
    <w:rsid w:val="00380B97"/>
    <w:rsid w:val="00384DA0"/>
    <w:rsid w:val="0038636C"/>
    <w:rsid w:val="00386D37"/>
    <w:rsid w:val="003917BC"/>
    <w:rsid w:val="00391B39"/>
    <w:rsid w:val="003928F2"/>
    <w:rsid w:val="003942A8"/>
    <w:rsid w:val="00396712"/>
    <w:rsid w:val="003A45F3"/>
    <w:rsid w:val="003B4F5C"/>
    <w:rsid w:val="003D1B7E"/>
    <w:rsid w:val="003E5A07"/>
    <w:rsid w:val="003E7674"/>
    <w:rsid w:val="003F14F4"/>
    <w:rsid w:val="003F36C2"/>
    <w:rsid w:val="003F6B5F"/>
    <w:rsid w:val="003F77C6"/>
    <w:rsid w:val="0040222A"/>
    <w:rsid w:val="004030FF"/>
    <w:rsid w:val="00415F2C"/>
    <w:rsid w:val="004215E3"/>
    <w:rsid w:val="00421E18"/>
    <w:rsid w:val="00430570"/>
    <w:rsid w:val="00430E96"/>
    <w:rsid w:val="004322B9"/>
    <w:rsid w:val="0043452B"/>
    <w:rsid w:val="004352A6"/>
    <w:rsid w:val="00440D48"/>
    <w:rsid w:val="004422CE"/>
    <w:rsid w:val="00447FE3"/>
    <w:rsid w:val="00452E19"/>
    <w:rsid w:val="00455042"/>
    <w:rsid w:val="00456087"/>
    <w:rsid w:val="00464115"/>
    <w:rsid w:val="0046593F"/>
    <w:rsid w:val="00467921"/>
    <w:rsid w:val="004777F0"/>
    <w:rsid w:val="00480F7C"/>
    <w:rsid w:val="0048392C"/>
    <w:rsid w:val="0048581A"/>
    <w:rsid w:val="00485EDB"/>
    <w:rsid w:val="00486BB8"/>
    <w:rsid w:val="004949D6"/>
    <w:rsid w:val="004A37FD"/>
    <w:rsid w:val="004A474B"/>
    <w:rsid w:val="004A4EA6"/>
    <w:rsid w:val="004B54BE"/>
    <w:rsid w:val="004B66F4"/>
    <w:rsid w:val="004C1940"/>
    <w:rsid w:val="004C3DE1"/>
    <w:rsid w:val="004C4D20"/>
    <w:rsid w:val="004D0722"/>
    <w:rsid w:val="004D13EF"/>
    <w:rsid w:val="004D1416"/>
    <w:rsid w:val="004D173E"/>
    <w:rsid w:val="004D22D9"/>
    <w:rsid w:val="004D382B"/>
    <w:rsid w:val="004E3A5E"/>
    <w:rsid w:val="004E3BB9"/>
    <w:rsid w:val="004E7A10"/>
    <w:rsid w:val="004F2B14"/>
    <w:rsid w:val="004F6D25"/>
    <w:rsid w:val="005041B6"/>
    <w:rsid w:val="0051707E"/>
    <w:rsid w:val="00523213"/>
    <w:rsid w:val="00527E57"/>
    <w:rsid w:val="00531210"/>
    <w:rsid w:val="00531A4A"/>
    <w:rsid w:val="00531D01"/>
    <w:rsid w:val="00536B00"/>
    <w:rsid w:val="005453EB"/>
    <w:rsid w:val="00546E5C"/>
    <w:rsid w:val="00550813"/>
    <w:rsid w:val="00554B0C"/>
    <w:rsid w:val="0055654E"/>
    <w:rsid w:val="00563B81"/>
    <w:rsid w:val="00566805"/>
    <w:rsid w:val="005668D7"/>
    <w:rsid w:val="00570C40"/>
    <w:rsid w:val="00572DB3"/>
    <w:rsid w:val="00574E4F"/>
    <w:rsid w:val="005902F7"/>
    <w:rsid w:val="00592F3E"/>
    <w:rsid w:val="00595326"/>
    <w:rsid w:val="005957DF"/>
    <w:rsid w:val="00597064"/>
    <w:rsid w:val="005A2156"/>
    <w:rsid w:val="005A2C9A"/>
    <w:rsid w:val="005A520E"/>
    <w:rsid w:val="005A73C9"/>
    <w:rsid w:val="005B4382"/>
    <w:rsid w:val="005B49AC"/>
    <w:rsid w:val="005B5E83"/>
    <w:rsid w:val="005B6529"/>
    <w:rsid w:val="005B66A5"/>
    <w:rsid w:val="005C3044"/>
    <w:rsid w:val="005C4C17"/>
    <w:rsid w:val="005C7D94"/>
    <w:rsid w:val="005D1009"/>
    <w:rsid w:val="005E08A7"/>
    <w:rsid w:val="005E18C0"/>
    <w:rsid w:val="005E386E"/>
    <w:rsid w:val="005E5AB8"/>
    <w:rsid w:val="005F08BE"/>
    <w:rsid w:val="005F4556"/>
    <w:rsid w:val="005F55A3"/>
    <w:rsid w:val="005F66AA"/>
    <w:rsid w:val="006037D6"/>
    <w:rsid w:val="006051DD"/>
    <w:rsid w:val="00607F47"/>
    <w:rsid w:val="0061065B"/>
    <w:rsid w:val="00614686"/>
    <w:rsid w:val="00617523"/>
    <w:rsid w:val="00631270"/>
    <w:rsid w:val="00636470"/>
    <w:rsid w:val="00643080"/>
    <w:rsid w:val="00644DA1"/>
    <w:rsid w:val="006511EC"/>
    <w:rsid w:val="0065196F"/>
    <w:rsid w:val="00652D75"/>
    <w:rsid w:val="00653075"/>
    <w:rsid w:val="00653656"/>
    <w:rsid w:val="00654457"/>
    <w:rsid w:val="00660577"/>
    <w:rsid w:val="00660698"/>
    <w:rsid w:val="00662A06"/>
    <w:rsid w:val="0066565F"/>
    <w:rsid w:val="00666613"/>
    <w:rsid w:val="00666CD1"/>
    <w:rsid w:val="00671C06"/>
    <w:rsid w:val="00673CE8"/>
    <w:rsid w:val="006755DB"/>
    <w:rsid w:val="00683793"/>
    <w:rsid w:val="00686467"/>
    <w:rsid w:val="00694215"/>
    <w:rsid w:val="006947C1"/>
    <w:rsid w:val="00694D13"/>
    <w:rsid w:val="006A6C47"/>
    <w:rsid w:val="006B3AEB"/>
    <w:rsid w:val="006B56BF"/>
    <w:rsid w:val="006B61E3"/>
    <w:rsid w:val="006B7A05"/>
    <w:rsid w:val="006C07E1"/>
    <w:rsid w:val="006C1BCB"/>
    <w:rsid w:val="006C2B1F"/>
    <w:rsid w:val="006C2D40"/>
    <w:rsid w:val="006C3B1E"/>
    <w:rsid w:val="006C3DCA"/>
    <w:rsid w:val="006C7670"/>
    <w:rsid w:val="006D0CCE"/>
    <w:rsid w:val="006D1BD7"/>
    <w:rsid w:val="006E5CDC"/>
    <w:rsid w:val="006F0DD5"/>
    <w:rsid w:val="006F24B0"/>
    <w:rsid w:val="007062F2"/>
    <w:rsid w:val="007158AC"/>
    <w:rsid w:val="00727A63"/>
    <w:rsid w:val="00731870"/>
    <w:rsid w:val="00733D64"/>
    <w:rsid w:val="0073533F"/>
    <w:rsid w:val="00742913"/>
    <w:rsid w:val="0074403D"/>
    <w:rsid w:val="007451C4"/>
    <w:rsid w:val="00745BD5"/>
    <w:rsid w:val="0076303E"/>
    <w:rsid w:val="00763D19"/>
    <w:rsid w:val="00764068"/>
    <w:rsid w:val="00764889"/>
    <w:rsid w:val="0076597F"/>
    <w:rsid w:val="007670D9"/>
    <w:rsid w:val="0077028A"/>
    <w:rsid w:val="007705E7"/>
    <w:rsid w:val="00774956"/>
    <w:rsid w:val="00780353"/>
    <w:rsid w:val="007830FB"/>
    <w:rsid w:val="00786C12"/>
    <w:rsid w:val="007A3091"/>
    <w:rsid w:val="007A3325"/>
    <w:rsid w:val="007A3A1D"/>
    <w:rsid w:val="007C7FB7"/>
    <w:rsid w:val="007D1445"/>
    <w:rsid w:val="007D5E2D"/>
    <w:rsid w:val="007E1236"/>
    <w:rsid w:val="007E225D"/>
    <w:rsid w:val="007E3B63"/>
    <w:rsid w:val="007E3E01"/>
    <w:rsid w:val="007E71FA"/>
    <w:rsid w:val="007F229D"/>
    <w:rsid w:val="007F273C"/>
    <w:rsid w:val="007F29C8"/>
    <w:rsid w:val="007F359B"/>
    <w:rsid w:val="007F43CF"/>
    <w:rsid w:val="007F568F"/>
    <w:rsid w:val="00801ED2"/>
    <w:rsid w:val="00803786"/>
    <w:rsid w:val="00805072"/>
    <w:rsid w:val="00810F6B"/>
    <w:rsid w:val="00815783"/>
    <w:rsid w:val="008158C2"/>
    <w:rsid w:val="0083014F"/>
    <w:rsid w:val="00831FEB"/>
    <w:rsid w:val="00834660"/>
    <w:rsid w:val="00840672"/>
    <w:rsid w:val="00844ACF"/>
    <w:rsid w:val="00851399"/>
    <w:rsid w:val="00851DA2"/>
    <w:rsid w:val="00851FA7"/>
    <w:rsid w:val="00855903"/>
    <w:rsid w:val="00864682"/>
    <w:rsid w:val="00875F85"/>
    <w:rsid w:val="00880BFA"/>
    <w:rsid w:val="008837C8"/>
    <w:rsid w:val="00894AC8"/>
    <w:rsid w:val="008A0373"/>
    <w:rsid w:val="008A240E"/>
    <w:rsid w:val="008A5DA4"/>
    <w:rsid w:val="008A6942"/>
    <w:rsid w:val="008A7C11"/>
    <w:rsid w:val="008B1625"/>
    <w:rsid w:val="008C2068"/>
    <w:rsid w:val="008C5D79"/>
    <w:rsid w:val="008D21E1"/>
    <w:rsid w:val="008D23AE"/>
    <w:rsid w:val="008D25E8"/>
    <w:rsid w:val="008D4166"/>
    <w:rsid w:val="008E6BCD"/>
    <w:rsid w:val="008F2F74"/>
    <w:rsid w:val="008F6702"/>
    <w:rsid w:val="008F70EE"/>
    <w:rsid w:val="008F74C7"/>
    <w:rsid w:val="008F7B75"/>
    <w:rsid w:val="0090208A"/>
    <w:rsid w:val="009072FB"/>
    <w:rsid w:val="00910C6F"/>
    <w:rsid w:val="00920545"/>
    <w:rsid w:val="00921708"/>
    <w:rsid w:val="00925CE3"/>
    <w:rsid w:val="00936D21"/>
    <w:rsid w:val="00937C7A"/>
    <w:rsid w:val="00940B2B"/>
    <w:rsid w:val="00941C62"/>
    <w:rsid w:val="009443B7"/>
    <w:rsid w:val="0094688C"/>
    <w:rsid w:val="00950A7C"/>
    <w:rsid w:val="009614FA"/>
    <w:rsid w:val="00962F87"/>
    <w:rsid w:val="00963365"/>
    <w:rsid w:val="0096753C"/>
    <w:rsid w:val="00971C02"/>
    <w:rsid w:val="009730A8"/>
    <w:rsid w:val="00975833"/>
    <w:rsid w:val="00975A39"/>
    <w:rsid w:val="0098050E"/>
    <w:rsid w:val="0098177F"/>
    <w:rsid w:val="009864F7"/>
    <w:rsid w:val="009908AA"/>
    <w:rsid w:val="009911CF"/>
    <w:rsid w:val="009A1B33"/>
    <w:rsid w:val="009A416F"/>
    <w:rsid w:val="009A6AC5"/>
    <w:rsid w:val="009A730A"/>
    <w:rsid w:val="009B063B"/>
    <w:rsid w:val="009B13D4"/>
    <w:rsid w:val="009B2830"/>
    <w:rsid w:val="009B702A"/>
    <w:rsid w:val="009D1678"/>
    <w:rsid w:val="009D3459"/>
    <w:rsid w:val="009D3478"/>
    <w:rsid w:val="009F399D"/>
    <w:rsid w:val="00A01FC2"/>
    <w:rsid w:val="00A028F7"/>
    <w:rsid w:val="00A04373"/>
    <w:rsid w:val="00A04F05"/>
    <w:rsid w:val="00A07426"/>
    <w:rsid w:val="00A07B8A"/>
    <w:rsid w:val="00A125D3"/>
    <w:rsid w:val="00A20180"/>
    <w:rsid w:val="00A204BE"/>
    <w:rsid w:val="00A22103"/>
    <w:rsid w:val="00A24F79"/>
    <w:rsid w:val="00A30FDC"/>
    <w:rsid w:val="00A3133E"/>
    <w:rsid w:val="00A34F9A"/>
    <w:rsid w:val="00A35A90"/>
    <w:rsid w:val="00A36561"/>
    <w:rsid w:val="00A43190"/>
    <w:rsid w:val="00A46DDB"/>
    <w:rsid w:val="00A50888"/>
    <w:rsid w:val="00A5343D"/>
    <w:rsid w:val="00A6309F"/>
    <w:rsid w:val="00A6701E"/>
    <w:rsid w:val="00A67A7E"/>
    <w:rsid w:val="00A71E65"/>
    <w:rsid w:val="00A77321"/>
    <w:rsid w:val="00A777F7"/>
    <w:rsid w:val="00A77EA7"/>
    <w:rsid w:val="00A77F80"/>
    <w:rsid w:val="00A845DF"/>
    <w:rsid w:val="00A85739"/>
    <w:rsid w:val="00A921F7"/>
    <w:rsid w:val="00A93104"/>
    <w:rsid w:val="00A93CA5"/>
    <w:rsid w:val="00A94933"/>
    <w:rsid w:val="00A95EF9"/>
    <w:rsid w:val="00AA0693"/>
    <w:rsid w:val="00AA0E04"/>
    <w:rsid w:val="00AA191E"/>
    <w:rsid w:val="00AA2AF9"/>
    <w:rsid w:val="00AA5608"/>
    <w:rsid w:val="00AA748D"/>
    <w:rsid w:val="00AB021C"/>
    <w:rsid w:val="00AB0B49"/>
    <w:rsid w:val="00AB7464"/>
    <w:rsid w:val="00AC2209"/>
    <w:rsid w:val="00AD242B"/>
    <w:rsid w:val="00AD5090"/>
    <w:rsid w:val="00AD66B6"/>
    <w:rsid w:val="00AF45E7"/>
    <w:rsid w:val="00AF75F6"/>
    <w:rsid w:val="00B044D7"/>
    <w:rsid w:val="00B05ABD"/>
    <w:rsid w:val="00B06875"/>
    <w:rsid w:val="00B10511"/>
    <w:rsid w:val="00B1449B"/>
    <w:rsid w:val="00B16CC1"/>
    <w:rsid w:val="00B17A57"/>
    <w:rsid w:val="00B20FB8"/>
    <w:rsid w:val="00B22282"/>
    <w:rsid w:val="00B22530"/>
    <w:rsid w:val="00B238B2"/>
    <w:rsid w:val="00B23A55"/>
    <w:rsid w:val="00B31956"/>
    <w:rsid w:val="00B31D3B"/>
    <w:rsid w:val="00B33022"/>
    <w:rsid w:val="00B40028"/>
    <w:rsid w:val="00B45895"/>
    <w:rsid w:val="00B50E7C"/>
    <w:rsid w:val="00B53E1B"/>
    <w:rsid w:val="00B56D27"/>
    <w:rsid w:val="00B5721B"/>
    <w:rsid w:val="00B57D91"/>
    <w:rsid w:val="00B637E3"/>
    <w:rsid w:val="00B641D7"/>
    <w:rsid w:val="00B64BE8"/>
    <w:rsid w:val="00B716D2"/>
    <w:rsid w:val="00B76E03"/>
    <w:rsid w:val="00B805B2"/>
    <w:rsid w:val="00B83772"/>
    <w:rsid w:val="00B83A04"/>
    <w:rsid w:val="00B8636B"/>
    <w:rsid w:val="00B86C7B"/>
    <w:rsid w:val="00B90D4F"/>
    <w:rsid w:val="00B96EE0"/>
    <w:rsid w:val="00BA1AB4"/>
    <w:rsid w:val="00BB4C2D"/>
    <w:rsid w:val="00BB721B"/>
    <w:rsid w:val="00BC03E1"/>
    <w:rsid w:val="00BC4205"/>
    <w:rsid w:val="00BC535A"/>
    <w:rsid w:val="00BC5610"/>
    <w:rsid w:val="00BC6066"/>
    <w:rsid w:val="00BC6167"/>
    <w:rsid w:val="00BC77DC"/>
    <w:rsid w:val="00BD0797"/>
    <w:rsid w:val="00BD281C"/>
    <w:rsid w:val="00BD7E23"/>
    <w:rsid w:val="00BE01FF"/>
    <w:rsid w:val="00BE65BC"/>
    <w:rsid w:val="00BE6880"/>
    <w:rsid w:val="00BE7C20"/>
    <w:rsid w:val="00BF56B0"/>
    <w:rsid w:val="00C0371A"/>
    <w:rsid w:val="00C04D93"/>
    <w:rsid w:val="00C05345"/>
    <w:rsid w:val="00C05C2E"/>
    <w:rsid w:val="00C15847"/>
    <w:rsid w:val="00C23F57"/>
    <w:rsid w:val="00C25C5D"/>
    <w:rsid w:val="00C423B1"/>
    <w:rsid w:val="00C5010C"/>
    <w:rsid w:val="00C51589"/>
    <w:rsid w:val="00C57298"/>
    <w:rsid w:val="00C618F1"/>
    <w:rsid w:val="00C64027"/>
    <w:rsid w:val="00C7382C"/>
    <w:rsid w:val="00C73BC6"/>
    <w:rsid w:val="00C75C3B"/>
    <w:rsid w:val="00C80063"/>
    <w:rsid w:val="00C83321"/>
    <w:rsid w:val="00C83565"/>
    <w:rsid w:val="00C8417C"/>
    <w:rsid w:val="00C8437D"/>
    <w:rsid w:val="00C85DEC"/>
    <w:rsid w:val="00C92502"/>
    <w:rsid w:val="00C92B0A"/>
    <w:rsid w:val="00C96211"/>
    <w:rsid w:val="00CA0328"/>
    <w:rsid w:val="00CB3A60"/>
    <w:rsid w:val="00CB3BF9"/>
    <w:rsid w:val="00CB640B"/>
    <w:rsid w:val="00CC073E"/>
    <w:rsid w:val="00CC3399"/>
    <w:rsid w:val="00CC49B4"/>
    <w:rsid w:val="00CC6617"/>
    <w:rsid w:val="00CD3ED8"/>
    <w:rsid w:val="00CD656E"/>
    <w:rsid w:val="00CE7807"/>
    <w:rsid w:val="00CF5204"/>
    <w:rsid w:val="00D01179"/>
    <w:rsid w:val="00D012E5"/>
    <w:rsid w:val="00D02C2C"/>
    <w:rsid w:val="00D04817"/>
    <w:rsid w:val="00D04D97"/>
    <w:rsid w:val="00D0616A"/>
    <w:rsid w:val="00D079F9"/>
    <w:rsid w:val="00D10F19"/>
    <w:rsid w:val="00D13EF5"/>
    <w:rsid w:val="00D148E2"/>
    <w:rsid w:val="00D170AA"/>
    <w:rsid w:val="00D2720F"/>
    <w:rsid w:val="00D300DB"/>
    <w:rsid w:val="00D36710"/>
    <w:rsid w:val="00D415CF"/>
    <w:rsid w:val="00D5084C"/>
    <w:rsid w:val="00D56E14"/>
    <w:rsid w:val="00D6758E"/>
    <w:rsid w:val="00D80D68"/>
    <w:rsid w:val="00D80FA1"/>
    <w:rsid w:val="00D84AD9"/>
    <w:rsid w:val="00D856CD"/>
    <w:rsid w:val="00D857F3"/>
    <w:rsid w:val="00D904D4"/>
    <w:rsid w:val="00D92379"/>
    <w:rsid w:val="00D961AC"/>
    <w:rsid w:val="00DA1125"/>
    <w:rsid w:val="00DA23B4"/>
    <w:rsid w:val="00DA4B08"/>
    <w:rsid w:val="00DA5328"/>
    <w:rsid w:val="00DA60F7"/>
    <w:rsid w:val="00DA61FA"/>
    <w:rsid w:val="00DB5D85"/>
    <w:rsid w:val="00DC33B4"/>
    <w:rsid w:val="00DC35E3"/>
    <w:rsid w:val="00DC42D3"/>
    <w:rsid w:val="00DC733F"/>
    <w:rsid w:val="00DC736D"/>
    <w:rsid w:val="00DC7AEC"/>
    <w:rsid w:val="00DC7EC6"/>
    <w:rsid w:val="00DD0031"/>
    <w:rsid w:val="00DD2B1B"/>
    <w:rsid w:val="00DD32A3"/>
    <w:rsid w:val="00DD3FDC"/>
    <w:rsid w:val="00DD6F33"/>
    <w:rsid w:val="00DE388A"/>
    <w:rsid w:val="00DE3F89"/>
    <w:rsid w:val="00DE56E9"/>
    <w:rsid w:val="00DE65AB"/>
    <w:rsid w:val="00DF53DF"/>
    <w:rsid w:val="00E023C6"/>
    <w:rsid w:val="00E11FA9"/>
    <w:rsid w:val="00E13904"/>
    <w:rsid w:val="00E14E18"/>
    <w:rsid w:val="00E20B0F"/>
    <w:rsid w:val="00E21191"/>
    <w:rsid w:val="00E4179A"/>
    <w:rsid w:val="00E46884"/>
    <w:rsid w:val="00E50C36"/>
    <w:rsid w:val="00E56C46"/>
    <w:rsid w:val="00E57326"/>
    <w:rsid w:val="00E6409C"/>
    <w:rsid w:val="00E641EF"/>
    <w:rsid w:val="00E72C7D"/>
    <w:rsid w:val="00E767BC"/>
    <w:rsid w:val="00E91A9A"/>
    <w:rsid w:val="00E945FB"/>
    <w:rsid w:val="00E96126"/>
    <w:rsid w:val="00E9798B"/>
    <w:rsid w:val="00E97A07"/>
    <w:rsid w:val="00EA146E"/>
    <w:rsid w:val="00EA4AC5"/>
    <w:rsid w:val="00EA783F"/>
    <w:rsid w:val="00EA7DC0"/>
    <w:rsid w:val="00EB41F5"/>
    <w:rsid w:val="00EB6D38"/>
    <w:rsid w:val="00EC0DB0"/>
    <w:rsid w:val="00EC2587"/>
    <w:rsid w:val="00EC76ED"/>
    <w:rsid w:val="00ED1BD9"/>
    <w:rsid w:val="00ED3041"/>
    <w:rsid w:val="00ED49AB"/>
    <w:rsid w:val="00ED6706"/>
    <w:rsid w:val="00EE747A"/>
    <w:rsid w:val="00EF0E33"/>
    <w:rsid w:val="00EF255E"/>
    <w:rsid w:val="00EF328D"/>
    <w:rsid w:val="00EF5CEE"/>
    <w:rsid w:val="00EF67A6"/>
    <w:rsid w:val="00EF6ED0"/>
    <w:rsid w:val="00EF7010"/>
    <w:rsid w:val="00EF7FD9"/>
    <w:rsid w:val="00F01F95"/>
    <w:rsid w:val="00F0306E"/>
    <w:rsid w:val="00F15825"/>
    <w:rsid w:val="00F15F61"/>
    <w:rsid w:val="00F17E94"/>
    <w:rsid w:val="00F22DE7"/>
    <w:rsid w:val="00F31188"/>
    <w:rsid w:val="00F3416B"/>
    <w:rsid w:val="00F34633"/>
    <w:rsid w:val="00F40652"/>
    <w:rsid w:val="00F43800"/>
    <w:rsid w:val="00F441F3"/>
    <w:rsid w:val="00F51E2E"/>
    <w:rsid w:val="00F56DE5"/>
    <w:rsid w:val="00F60D70"/>
    <w:rsid w:val="00F71C46"/>
    <w:rsid w:val="00F73F1A"/>
    <w:rsid w:val="00F80E99"/>
    <w:rsid w:val="00F94F96"/>
    <w:rsid w:val="00FA1684"/>
    <w:rsid w:val="00FA29A4"/>
    <w:rsid w:val="00FB15A5"/>
    <w:rsid w:val="00FB344F"/>
    <w:rsid w:val="00FC03F0"/>
    <w:rsid w:val="00FC27F4"/>
    <w:rsid w:val="00FC2886"/>
    <w:rsid w:val="00FC643C"/>
    <w:rsid w:val="00FC6BCD"/>
    <w:rsid w:val="00FE1549"/>
    <w:rsid w:val="00FE4C3D"/>
    <w:rsid w:val="00FF13A8"/>
    <w:rsid w:val="00FF5B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89BE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16B"/>
    <w:pPr>
      <w:spacing w:after="0" w:line="240" w:lineRule="auto"/>
    </w:pPr>
    <w:rPr>
      <w:rFonts w:ascii="Verdana" w:eastAsiaTheme="minorEastAsia" w:hAnsi="Verdana" w:cstheme="minorHAnsi"/>
      <w:sz w:val="18"/>
      <w:szCs w:val="20"/>
      <w:lang w:val="en-GB" w:eastAsia="zh-TW"/>
    </w:rPr>
  </w:style>
  <w:style w:type="paragraph" w:styleId="Heading1">
    <w:name w:val="heading 1"/>
    <w:basedOn w:val="Normal"/>
    <w:next w:val="Normal"/>
    <w:link w:val="Heading1Char"/>
    <w:qFormat/>
    <w:rsid w:val="0019316B"/>
    <w:pPr>
      <w:keepNext/>
      <w:jc w:val="center"/>
      <w:outlineLvl w:val="0"/>
    </w:pPr>
    <w:rPr>
      <w:rFonts w:ascii="Times New Roman" w:eastAsia="Times New Roman" w:hAnsi="Times New Roman" w:cs="Times New Roman"/>
      <w:b/>
      <w:bCs/>
      <w:sz w:val="24"/>
      <w:szCs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16B"/>
    <w:rPr>
      <w:rFonts w:ascii="Times New Roman" w:eastAsia="Times New Roman" w:hAnsi="Times New Roman" w:cs="Times New Roman"/>
      <w:b/>
      <w:bCs/>
      <w:sz w:val="24"/>
      <w:szCs w:val="24"/>
    </w:rPr>
  </w:style>
  <w:style w:type="table" w:styleId="TableGrid">
    <w:name w:val="Table Grid"/>
    <w:basedOn w:val="TableNormal"/>
    <w:uiPriority w:val="59"/>
    <w:rsid w:val="0019316B"/>
    <w:pPr>
      <w:spacing w:after="0" w:line="240" w:lineRule="auto"/>
    </w:pPr>
    <w:rPr>
      <w:rFonts w:ascii="Verdana" w:eastAsiaTheme="minorEastAsia" w:hAnsi="Verdana" w:cstheme="minorHAnsi"/>
      <w:sz w:val="18"/>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19316B"/>
    <w:pPr>
      <w:jc w:val="center"/>
    </w:pPr>
    <w:rPr>
      <w:rFonts w:ascii="Times New Roman" w:eastAsia="Times New Roman" w:hAnsi="Times New Roman" w:cs="Times New Roman"/>
      <w:b/>
      <w:sz w:val="32"/>
      <w:lang w:eastAsia="en-US"/>
    </w:rPr>
  </w:style>
  <w:style w:type="character" w:customStyle="1" w:styleId="SubtitleChar">
    <w:name w:val="Subtitle Char"/>
    <w:basedOn w:val="DefaultParagraphFont"/>
    <w:link w:val="Subtitle"/>
    <w:rsid w:val="0019316B"/>
    <w:rPr>
      <w:rFonts w:ascii="Times New Roman" w:eastAsia="Times New Roman" w:hAnsi="Times New Roman" w:cs="Times New Roman"/>
      <w:b/>
      <w:sz w:val="32"/>
      <w:szCs w:val="20"/>
      <w:lang w:val="en-GB"/>
    </w:rPr>
  </w:style>
  <w:style w:type="paragraph" w:styleId="Title">
    <w:name w:val="Title"/>
    <w:basedOn w:val="Normal"/>
    <w:link w:val="TitleChar"/>
    <w:qFormat/>
    <w:rsid w:val="0019316B"/>
    <w:pPr>
      <w:jc w:val="center"/>
    </w:pPr>
    <w:rPr>
      <w:rFonts w:ascii="Times New Roman" w:eastAsia="Times New Roman" w:hAnsi="Times New Roman" w:cs="Times New Roman"/>
      <w:b/>
      <w:sz w:val="24"/>
      <w:lang w:val="lv-LV" w:eastAsia="en-US"/>
    </w:rPr>
  </w:style>
  <w:style w:type="character" w:customStyle="1" w:styleId="TitleChar">
    <w:name w:val="Title Char"/>
    <w:basedOn w:val="DefaultParagraphFont"/>
    <w:link w:val="Title"/>
    <w:rsid w:val="0019316B"/>
    <w:rPr>
      <w:rFonts w:ascii="Times New Roman" w:eastAsia="Times New Roman" w:hAnsi="Times New Roman" w:cs="Times New Roman"/>
      <w:b/>
      <w:sz w:val="24"/>
      <w:szCs w:val="20"/>
    </w:rPr>
  </w:style>
  <w:style w:type="paragraph" w:styleId="ListParagraph">
    <w:name w:val="List Paragraph"/>
    <w:basedOn w:val="Normal"/>
    <w:uiPriority w:val="34"/>
    <w:qFormat/>
    <w:rsid w:val="00666CD1"/>
    <w:pPr>
      <w:ind w:left="720"/>
      <w:contextualSpacing/>
    </w:pPr>
  </w:style>
  <w:style w:type="paragraph" w:customStyle="1" w:styleId="tv213">
    <w:name w:val="tv213"/>
    <w:basedOn w:val="Normal"/>
    <w:rsid w:val="00834660"/>
    <w:pPr>
      <w:spacing w:before="100" w:beforeAutospacing="1" w:after="100" w:afterAutospacing="1"/>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semiHidden/>
    <w:unhideWhenUsed/>
    <w:rsid w:val="00834660"/>
    <w:rPr>
      <w:color w:val="0000FF"/>
      <w:u w:val="single"/>
    </w:rPr>
  </w:style>
  <w:style w:type="paragraph" w:styleId="NormalWeb">
    <w:name w:val="Normal (Web)"/>
    <w:basedOn w:val="Normal"/>
    <w:uiPriority w:val="99"/>
    <w:unhideWhenUsed/>
    <w:rsid w:val="00430E96"/>
    <w:pPr>
      <w:spacing w:before="100" w:beforeAutospacing="1" w:after="100" w:afterAutospacing="1"/>
    </w:pPr>
    <w:rPr>
      <w:rFonts w:ascii="Calibri" w:eastAsiaTheme="minorHAnsi" w:hAnsi="Calibri" w:cs="Calibri"/>
      <w:sz w:val="22"/>
      <w:szCs w:val="22"/>
      <w:lang w:val="lv-LV" w:eastAsia="lv-LV"/>
    </w:rPr>
  </w:style>
  <w:style w:type="character" w:customStyle="1" w:styleId="FontStyle14">
    <w:name w:val="Font Style14"/>
    <w:rsid w:val="001738E8"/>
    <w:rPr>
      <w:rFonts w:ascii="Times New Roman" w:hAnsi="Times New Roman" w:cs="Times New Roman"/>
      <w:sz w:val="22"/>
      <w:szCs w:val="22"/>
    </w:rPr>
  </w:style>
  <w:style w:type="paragraph" w:customStyle="1" w:styleId="Style6">
    <w:name w:val="Style6"/>
    <w:basedOn w:val="Normal"/>
    <w:rsid w:val="001738E8"/>
    <w:pPr>
      <w:widowControl w:val="0"/>
      <w:autoSpaceDE w:val="0"/>
      <w:autoSpaceDN w:val="0"/>
      <w:adjustRightInd w:val="0"/>
      <w:spacing w:line="262" w:lineRule="exact"/>
      <w:ind w:hanging="398"/>
    </w:pPr>
    <w:rPr>
      <w:rFonts w:ascii="Arial Unicode MS" w:eastAsia="Arial Unicode MS" w:hAnsi="Times New Roman" w:cs="Times New Roman"/>
      <w:sz w:val="24"/>
      <w:szCs w:val="24"/>
      <w:lang w:val="lv-LV" w:eastAsia="lv-LV"/>
    </w:rPr>
  </w:style>
  <w:style w:type="character" w:styleId="CommentReference">
    <w:name w:val="annotation reference"/>
    <w:basedOn w:val="DefaultParagraphFont"/>
    <w:uiPriority w:val="99"/>
    <w:semiHidden/>
    <w:unhideWhenUsed/>
    <w:rsid w:val="00864682"/>
    <w:rPr>
      <w:sz w:val="16"/>
      <w:szCs w:val="16"/>
    </w:rPr>
  </w:style>
  <w:style w:type="paragraph" w:styleId="CommentText">
    <w:name w:val="annotation text"/>
    <w:basedOn w:val="Normal"/>
    <w:link w:val="CommentTextChar"/>
    <w:uiPriority w:val="99"/>
    <w:semiHidden/>
    <w:unhideWhenUsed/>
    <w:rsid w:val="00864682"/>
    <w:rPr>
      <w:sz w:val="20"/>
    </w:rPr>
  </w:style>
  <w:style w:type="character" w:customStyle="1" w:styleId="CommentTextChar">
    <w:name w:val="Comment Text Char"/>
    <w:basedOn w:val="DefaultParagraphFont"/>
    <w:link w:val="CommentText"/>
    <w:uiPriority w:val="99"/>
    <w:semiHidden/>
    <w:rsid w:val="00864682"/>
    <w:rPr>
      <w:rFonts w:ascii="Verdana" w:eastAsiaTheme="minorEastAsia" w:hAnsi="Verdana" w:cstheme="minorHAnsi"/>
      <w:sz w:val="20"/>
      <w:szCs w:val="20"/>
      <w:lang w:val="en-GB" w:eastAsia="zh-TW"/>
    </w:rPr>
  </w:style>
  <w:style w:type="paragraph" w:styleId="CommentSubject">
    <w:name w:val="annotation subject"/>
    <w:basedOn w:val="CommentText"/>
    <w:next w:val="CommentText"/>
    <w:link w:val="CommentSubjectChar"/>
    <w:uiPriority w:val="99"/>
    <w:semiHidden/>
    <w:unhideWhenUsed/>
    <w:rsid w:val="00864682"/>
    <w:rPr>
      <w:b/>
      <w:bCs/>
    </w:rPr>
  </w:style>
  <w:style w:type="character" w:customStyle="1" w:styleId="CommentSubjectChar">
    <w:name w:val="Comment Subject Char"/>
    <w:basedOn w:val="CommentTextChar"/>
    <w:link w:val="CommentSubject"/>
    <w:uiPriority w:val="99"/>
    <w:semiHidden/>
    <w:rsid w:val="00864682"/>
    <w:rPr>
      <w:rFonts w:ascii="Verdana" w:eastAsiaTheme="minorEastAsia" w:hAnsi="Verdana" w:cstheme="minorHAnsi"/>
      <w:b/>
      <w:bCs/>
      <w:sz w:val="20"/>
      <w:szCs w:val="20"/>
      <w:lang w:val="en-GB" w:eastAsia="zh-TW"/>
    </w:rPr>
  </w:style>
  <w:style w:type="paragraph" w:styleId="BalloonText">
    <w:name w:val="Balloon Text"/>
    <w:basedOn w:val="Normal"/>
    <w:link w:val="BalloonTextChar"/>
    <w:uiPriority w:val="99"/>
    <w:semiHidden/>
    <w:unhideWhenUsed/>
    <w:rsid w:val="00864682"/>
    <w:rPr>
      <w:rFonts w:ascii="Segoe UI" w:hAnsi="Segoe UI" w:cs="Segoe UI"/>
      <w:szCs w:val="18"/>
    </w:rPr>
  </w:style>
  <w:style w:type="character" w:customStyle="1" w:styleId="BalloonTextChar">
    <w:name w:val="Balloon Text Char"/>
    <w:basedOn w:val="DefaultParagraphFont"/>
    <w:link w:val="BalloonText"/>
    <w:uiPriority w:val="99"/>
    <w:semiHidden/>
    <w:rsid w:val="00864682"/>
    <w:rPr>
      <w:rFonts w:ascii="Segoe UI" w:eastAsiaTheme="minorEastAsia" w:hAnsi="Segoe UI" w:cs="Segoe UI"/>
      <w:sz w:val="18"/>
      <w:szCs w:val="18"/>
      <w:lang w:val="en-GB" w:eastAsia="zh-TW"/>
    </w:rPr>
  </w:style>
  <w:style w:type="paragraph" w:styleId="Header">
    <w:name w:val="header"/>
    <w:basedOn w:val="Normal"/>
    <w:link w:val="HeaderChar"/>
    <w:uiPriority w:val="99"/>
    <w:unhideWhenUsed/>
    <w:rsid w:val="00BD0797"/>
    <w:pPr>
      <w:tabs>
        <w:tab w:val="center" w:pos="4513"/>
        <w:tab w:val="right" w:pos="9026"/>
      </w:tabs>
    </w:pPr>
  </w:style>
  <w:style w:type="character" w:customStyle="1" w:styleId="HeaderChar">
    <w:name w:val="Header Char"/>
    <w:basedOn w:val="DefaultParagraphFont"/>
    <w:link w:val="Header"/>
    <w:uiPriority w:val="99"/>
    <w:rsid w:val="00BD0797"/>
    <w:rPr>
      <w:rFonts w:ascii="Verdana" w:eastAsiaTheme="minorEastAsia" w:hAnsi="Verdana" w:cstheme="minorHAnsi"/>
      <w:sz w:val="18"/>
      <w:szCs w:val="20"/>
      <w:lang w:val="en-GB" w:eastAsia="zh-TW"/>
    </w:rPr>
  </w:style>
  <w:style w:type="paragraph" w:styleId="Footer">
    <w:name w:val="footer"/>
    <w:basedOn w:val="Normal"/>
    <w:link w:val="FooterChar"/>
    <w:uiPriority w:val="99"/>
    <w:unhideWhenUsed/>
    <w:rsid w:val="00BD0797"/>
    <w:pPr>
      <w:tabs>
        <w:tab w:val="center" w:pos="4513"/>
        <w:tab w:val="right" w:pos="9026"/>
      </w:tabs>
    </w:pPr>
  </w:style>
  <w:style w:type="character" w:customStyle="1" w:styleId="FooterChar">
    <w:name w:val="Footer Char"/>
    <w:basedOn w:val="DefaultParagraphFont"/>
    <w:link w:val="Footer"/>
    <w:uiPriority w:val="99"/>
    <w:rsid w:val="00BD0797"/>
    <w:rPr>
      <w:rFonts w:ascii="Verdana" w:eastAsiaTheme="minorEastAsia" w:hAnsi="Verdana" w:cstheme="minorHAnsi"/>
      <w:sz w:val="18"/>
      <w:szCs w:val="20"/>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85173">
      <w:bodyDiv w:val="1"/>
      <w:marLeft w:val="0"/>
      <w:marRight w:val="0"/>
      <w:marTop w:val="0"/>
      <w:marBottom w:val="0"/>
      <w:divBdr>
        <w:top w:val="none" w:sz="0" w:space="0" w:color="auto"/>
        <w:left w:val="none" w:sz="0" w:space="0" w:color="auto"/>
        <w:bottom w:val="none" w:sz="0" w:space="0" w:color="auto"/>
        <w:right w:val="none" w:sz="0" w:space="0" w:color="auto"/>
      </w:divBdr>
    </w:div>
    <w:div w:id="843010698">
      <w:bodyDiv w:val="1"/>
      <w:marLeft w:val="0"/>
      <w:marRight w:val="0"/>
      <w:marTop w:val="0"/>
      <w:marBottom w:val="0"/>
      <w:divBdr>
        <w:top w:val="none" w:sz="0" w:space="0" w:color="auto"/>
        <w:left w:val="none" w:sz="0" w:space="0" w:color="auto"/>
        <w:bottom w:val="none" w:sz="0" w:space="0" w:color="auto"/>
        <w:right w:val="none" w:sz="0" w:space="0" w:color="auto"/>
      </w:divBdr>
    </w:div>
    <w:div w:id="1713115464">
      <w:bodyDiv w:val="1"/>
      <w:marLeft w:val="0"/>
      <w:marRight w:val="0"/>
      <w:marTop w:val="0"/>
      <w:marBottom w:val="0"/>
      <w:divBdr>
        <w:top w:val="none" w:sz="0" w:space="0" w:color="auto"/>
        <w:left w:val="none" w:sz="0" w:space="0" w:color="auto"/>
        <w:bottom w:val="none" w:sz="0" w:space="0" w:color="auto"/>
        <w:right w:val="none" w:sz="0" w:space="0" w:color="auto"/>
      </w:divBdr>
    </w:div>
    <w:div w:id="21066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AA8B8-8F9B-4D96-95F8-5A456FF4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7085</Words>
  <Characters>4039</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2020-07-13T06:29:00Z</dcterms:created>
  <dcterms:modified xsi:type="dcterms:W3CDTF">2020-07-13T12:21:00Z</dcterms:modified>
</cp:coreProperties>
</file>