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2E6DAE" w:rsidRPr="001E7CC5" w14:paraId="087E831D" w14:textId="77777777" w:rsidTr="00033A22">
        <w:trPr>
          <w:trHeight w:hRule="exact" w:val="1055"/>
        </w:trPr>
        <w:tc>
          <w:tcPr>
            <w:tcW w:w="9498" w:type="dxa"/>
          </w:tcPr>
          <w:p w14:paraId="3C7C52BA" w14:textId="77777777" w:rsidR="002E6DAE" w:rsidRPr="001E7CC5" w:rsidRDefault="001D54D1">
            <w:pPr>
              <w:spacing w:line="240" w:lineRule="atLeast"/>
              <w:jc w:val="center"/>
              <w:rPr>
                <w:vanish/>
                <w:color w:val="000000"/>
                <w:lang w:val="lt-LT"/>
              </w:rPr>
            </w:pPr>
            <w:r w:rsidRPr="001E7CC5">
              <w:rPr>
                <w:lang w:val="lt-LT" w:eastAsia="lt-LT"/>
              </w:rPr>
              <w:drawing>
                <wp:inline distT="0" distB="0" distL="0" distR="0" wp14:anchorId="1544F530" wp14:editId="117EF474">
                  <wp:extent cx="504825" cy="571500"/>
                  <wp:effectExtent l="0" t="0" r="9525" b="0"/>
                  <wp:docPr id="1" name="Picture 1" descr="herbas-L_spalv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as-L_spalv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DAE" w:rsidRPr="001E7CC5" w14:paraId="559C58D0" w14:textId="77777777" w:rsidTr="00033A22">
        <w:trPr>
          <w:trHeight w:hRule="exact" w:val="1360"/>
        </w:trPr>
        <w:tc>
          <w:tcPr>
            <w:tcW w:w="9498" w:type="dxa"/>
          </w:tcPr>
          <w:p w14:paraId="7878A555" w14:textId="77777777" w:rsidR="009C27D1" w:rsidRPr="001E7CC5" w:rsidRDefault="009C27D1" w:rsidP="009C27D1">
            <w:pPr>
              <w:pStyle w:val="Heading1"/>
              <w:rPr>
                <w:lang w:val="lt-LT"/>
              </w:rPr>
            </w:pPr>
            <w:r w:rsidRPr="001E7CC5">
              <w:rPr>
                <w:lang w:val="lt-LT"/>
              </w:rPr>
              <w:t>LIETUVOS BANKO</w:t>
            </w:r>
          </w:p>
          <w:p w14:paraId="476B97C1" w14:textId="77777777" w:rsidR="004B4C28" w:rsidRPr="001E7CC5" w:rsidRDefault="00FA7666" w:rsidP="004B4C28">
            <w:pPr>
              <w:pStyle w:val="Heading1"/>
              <w:rPr>
                <w:lang w:val="lt-LT"/>
              </w:rPr>
            </w:pPr>
            <w:r w:rsidRPr="001E7CC5">
              <w:rPr>
                <w:lang w:val="lt-LT"/>
              </w:rPr>
              <w:t>FINANSŲ RINKOS PRIEŽIŪROS TARNYBOS</w:t>
            </w:r>
          </w:p>
          <w:p w14:paraId="05A993EB" w14:textId="77777777" w:rsidR="002E6DAE" w:rsidRPr="001E7CC5" w:rsidRDefault="004B4C28" w:rsidP="009C27D1">
            <w:pPr>
              <w:pStyle w:val="Heading1"/>
              <w:rPr>
                <w:color w:val="000000"/>
                <w:lang w:val="lt-LT"/>
              </w:rPr>
            </w:pPr>
            <w:r w:rsidRPr="001E7CC5">
              <w:rPr>
                <w:lang w:val="lt-LT"/>
              </w:rPr>
              <w:t>DIREKTORIUS</w:t>
            </w:r>
          </w:p>
        </w:tc>
      </w:tr>
      <w:tr w:rsidR="00033A22" w:rsidRPr="001E7CC5" w14:paraId="51EFAD2C" w14:textId="77777777" w:rsidTr="0003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2D7D1A2" w14:textId="77777777" w:rsidR="00033A22" w:rsidRPr="001E7CC5" w:rsidRDefault="00033A22" w:rsidP="00033A22">
            <w:pPr>
              <w:jc w:val="center"/>
              <w:rPr>
                <w:b/>
                <w:lang w:val="lt-LT"/>
              </w:rPr>
            </w:pPr>
            <w:r w:rsidRPr="001E7CC5">
              <w:rPr>
                <w:b/>
                <w:lang w:val="lt-LT"/>
              </w:rPr>
              <w:t>SPRENDIMAS</w:t>
            </w:r>
          </w:p>
          <w:p w14:paraId="76C07FB1" w14:textId="06EC469F" w:rsidR="00033A22" w:rsidRPr="001E7CC5" w:rsidRDefault="00AD2878" w:rsidP="00033A22">
            <w:pPr>
              <w:jc w:val="center"/>
              <w:rPr>
                <w:b/>
                <w:lang w:val="lt-LT"/>
              </w:rPr>
            </w:pPr>
            <w:r w:rsidRPr="001E7CC5">
              <w:rPr>
                <w:b/>
                <w:lang w:val="lt-LT"/>
              </w:rPr>
              <w:t>DĖL LEIDIMO INVESTUOTI IKI 35 PROCENTŲ INVESTICINĖS KINTAMOJO KAPITALO BENDROVĖS „OMX BALTIC BENCHMARK FUND“ GRYNŲJŲ AKTYVŲ VERTĖS Į VIENO EMITENTO IŠLEISTUS PERLEIDŽIAMUOSIUS VERTYBINIUS POPIERIUS</w:t>
            </w:r>
          </w:p>
        </w:tc>
      </w:tr>
      <w:tr w:rsidR="002E6DAE" w:rsidRPr="001E7CC5" w14:paraId="3F9F90D6" w14:textId="77777777" w:rsidTr="0003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F36AD35" w14:textId="77777777" w:rsidR="002E6DAE" w:rsidRPr="001E7CC5" w:rsidRDefault="002E6DAE">
            <w:pPr>
              <w:rPr>
                <w:b/>
                <w:szCs w:val="24"/>
                <w:lang w:val="lt-LT"/>
              </w:rPr>
            </w:pPr>
          </w:p>
        </w:tc>
      </w:tr>
      <w:tr w:rsidR="002E6DAE" w:rsidRPr="001E7CC5" w14:paraId="5789CDD1" w14:textId="77777777" w:rsidTr="0003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7843FA0" w14:textId="5FC250B3" w:rsidR="002E6DAE" w:rsidRPr="001E7CC5" w:rsidRDefault="004265E9" w:rsidP="00AA5FE7">
            <w:pPr>
              <w:jc w:val="center"/>
              <w:rPr>
                <w:lang w:val="lt-LT"/>
              </w:rPr>
            </w:pPr>
            <w:r w:rsidRPr="001E7CC5">
              <w:rPr>
                <w:lang w:val="lt-LT"/>
              </w:rPr>
              <w:t>2021 m. rugsėjo 20 d. Nr. V 2021/(34.3.E-3400)-419-1</w:t>
            </w:r>
            <w:r w:rsidRPr="001E7CC5">
              <w:rPr>
                <w:lang w:val="lt-LT"/>
              </w:rPr>
              <w:t>75</w:t>
            </w:r>
          </w:p>
        </w:tc>
      </w:tr>
      <w:tr w:rsidR="002E6DAE" w:rsidRPr="001E7CC5" w14:paraId="7436B875" w14:textId="77777777" w:rsidTr="0003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CA9ABF5" w14:textId="77777777" w:rsidR="002E6DAE" w:rsidRPr="001E7CC5" w:rsidRDefault="002E6DAE">
            <w:pPr>
              <w:jc w:val="center"/>
              <w:rPr>
                <w:lang w:val="lt-LT"/>
              </w:rPr>
            </w:pPr>
            <w:r w:rsidRPr="001E7CC5">
              <w:rPr>
                <w:lang w:val="lt-LT"/>
              </w:rPr>
              <w:t>Vilnius</w:t>
            </w:r>
          </w:p>
        </w:tc>
      </w:tr>
    </w:tbl>
    <w:p w14:paraId="724F5444" w14:textId="77777777" w:rsidR="002E6DAE" w:rsidRPr="001E7CC5" w:rsidRDefault="002E6DAE">
      <w:pPr>
        <w:rPr>
          <w:lang w:val="lt-LT"/>
        </w:rPr>
      </w:pPr>
    </w:p>
    <w:p w14:paraId="5EF25215" w14:textId="77777777" w:rsidR="002E6DAE" w:rsidRPr="001E7CC5" w:rsidRDefault="002E6DAE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67DBD794" w14:textId="56410DEB" w:rsidR="002B39BB" w:rsidRPr="001E7CC5" w:rsidRDefault="00033A22" w:rsidP="00033A22">
      <w:pPr>
        <w:pStyle w:val="Tekstas"/>
      </w:pPr>
      <w:r w:rsidRPr="001E7CC5">
        <w:t xml:space="preserve">Atsižvelgdama į </w:t>
      </w:r>
      <w:bookmarkStart w:id="0" w:name="_Hlk58413027"/>
      <w:r w:rsidR="00A24082" w:rsidRPr="001E7CC5">
        <w:t xml:space="preserve">uždarosios akcinės bendrovės </w:t>
      </w:r>
      <w:r w:rsidR="00AD2878" w:rsidRPr="001E7CC5">
        <w:t>„</w:t>
      </w:r>
      <w:proofErr w:type="spellStart"/>
      <w:r w:rsidR="00AD2878" w:rsidRPr="001E7CC5">
        <w:t>Orion</w:t>
      </w:r>
      <w:proofErr w:type="spellEnd"/>
      <w:r w:rsidR="00AD2878" w:rsidRPr="001E7CC5">
        <w:t xml:space="preserve"> </w:t>
      </w:r>
      <w:proofErr w:type="spellStart"/>
      <w:r w:rsidR="00AD2878" w:rsidRPr="001E7CC5">
        <w:t>Asset</w:t>
      </w:r>
      <w:proofErr w:type="spellEnd"/>
      <w:r w:rsidR="00AD2878" w:rsidRPr="001E7CC5">
        <w:t xml:space="preserve"> </w:t>
      </w:r>
      <w:proofErr w:type="spellStart"/>
      <w:r w:rsidR="00AD2878" w:rsidRPr="001E7CC5">
        <w:t>Management</w:t>
      </w:r>
      <w:proofErr w:type="spellEnd"/>
      <w:r w:rsidR="00AD2878" w:rsidRPr="001E7CC5">
        <w:t xml:space="preserve">“ </w:t>
      </w:r>
      <w:bookmarkEnd w:id="0"/>
      <w:r w:rsidR="00577920" w:rsidRPr="001E7CC5">
        <w:t xml:space="preserve">2021 </w:t>
      </w:r>
      <w:r w:rsidRPr="001E7CC5">
        <w:t xml:space="preserve">m. </w:t>
      </w:r>
      <w:r w:rsidR="00AD2878" w:rsidRPr="001E7CC5">
        <w:t xml:space="preserve">rugpjūčio 2 </w:t>
      </w:r>
      <w:r w:rsidRPr="001E7CC5">
        <w:t xml:space="preserve">d. prašymą </w:t>
      </w:r>
      <w:r w:rsidR="00AD2878" w:rsidRPr="001E7CC5">
        <w:t xml:space="preserve">bei 2021 m. rugpjūčio 26 d. gautą papildomą informaciją </w:t>
      </w:r>
      <w:r w:rsidRPr="001E7CC5">
        <w:t xml:space="preserve">ir vadovaudamasi Lietuvos Respublikos kolektyvinio investavimo subjektų įstatymo </w:t>
      </w:r>
      <w:r w:rsidR="00AD2878" w:rsidRPr="001E7CC5">
        <w:t>82 </w:t>
      </w:r>
      <w:r w:rsidRPr="001E7CC5">
        <w:t xml:space="preserve">straipsnio </w:t>
      </w:r>
      <w:r w:rsidR="00AD2878" w:rsidRPr="001E7CC5">
        <w:t>2</w:t>
      </w:r>
      <w:r w:rsidRPr="001E7CC5">
        <w:t xml:space="preserve"> dali</w:t>
      </w:r>
      <w:r w:rsidR="00AD2878" w:rsidRPr="001E7CC5">
        <w:t>mi</w:t>
      </w:r>
      <w:r w:rsidR="001E7CC5" w:rsidRPr="001E7CC5">
        <w:t xml:space="preserve"> ir</w:t>
      </w:r>
      <w:r w:rsidRPr="001E7CC5">
        <w:t xml:space="preserve"> </w:t>
      </w:r>
      <w:r w:rsidR="00A24082" w:rsidRPr="001E7CC5">
        <w:t>162 straipsnio 1 dalies 2 punktu</w:t>
      </w:r>
      <w:r w:rsidR="001E7CC5" w:rsidRPr="001E7CC5">
        <w:t xml:space="preserve"> ir</w:t>
      </w:r>
      <w:r w:rsidR="00A24082" w:rsidRPr="001E7CC5">
        <w:t xml:space="preserve"> </w:t>
      </w:r>
      <w:r w:rsidRPr="001E7CC5">
        <w:t>Lietuvos banko valdybos 2012 m. kovo 15 d. nutarimo Nr. 03-67 „Dėl tam tikrų su finansų rinkos priežiūra susijusių Lietuvos banko valdybos funkcijų pavedimo vykdyti Lietuvos banko struktūriniams padaliniams“ 2 punktu, n</w:t>
      </w:r>
      <w:r w:rsidR="001E7CC5" w:rsidRPr="001E7CC5">
        <w:t> </w:t>
      </w:r>
      <w:r w:rsidRPr="001E7CC5">
        <w:t>u</w:t>
      </w:r>
      <w:r w:rsidR="001E7CC5" w:rsidRPr="001E7CC5">
        <w:t> </w:t>
      </w:r>
      <w:r w:rsidRPr="001E7CC5">
        <w:t>s</w:t>
      </w:r>
      <w:r w:rsidR="001E7CC5" w:rsidRPr="001E7CC5">
        <w:t> </w:t>
      </w:r>
      <w:r w:rsidRPr="001E7CC5">
        <w:t>p</w:t>
      </w:r>
      <w:r w:rsidR="001E7CC5" w:rsidRPr="001E7CC5">
        <w:t> </w:t>
      </w:r>
      <w:r w:rsidRPr="001E7CC5">
        <w:t>r</w:t>
      </w:r>
      <w:r w:rsidR="001E7CC5" w:rsidRPr="001E7CC5">
        <w:t> </w:t>
      </w:r>
      <w:r w:rsidRPr="001E7CC5">
        <w:t>e</w:t>
      </w:r>
      <w:r w:rsidR="001E7CC5" w:rsidRPr="001E7CC5">
        <w:t> </w:t>
      </w:r>
      <w:r w:rsidRPr="001E7CC5">
        <w:t>n</w:t>
      </w:r>
      <w:r w:rsidR="001E7CC5" w:rsidRPr="001E7CC5">
        <w:t> </w:t>
      </w:r>
      <w:r w:rsidRPr="001E7CC5">
        <w:t>d</w:t>
      </w:r>
      <w:r w:rsidR="001E7CC5" w:rsidRPr="001E7CC5">
        <w:t> </w:t>
      </w:r>
      <w:r w:rsidRPr="001E7CC5">
        <w:t>ž</w:t>
      </w:r>
      <w:r w:rsidR="001E7CC5" w:rsidRPr="001E7CC5">
        <w:t> </w:t>
      </w:r>
      <w:r w:rsidRPr="001E7CC5">
        <w:t>i</w:t>
      </w:r>
      <w:r w:rsidR="001E7CC5" w:rsidRPr="001E7CC5">
        <w:t> </w:t>
      </w:r>
      <w:r w:rsidRPr="001E7CC5">
        <w:t>u:</w:t>
      </w:r>
    </w:p>
    <w:p w14:paraId="54CD1A25" w14:textId="182CC5CC" w:rsidR="00A24082" w:rsidRPr="001E7CC5" w:rsidRDefault="001E7CC5" w:rsidP="001E7CC5">
      <w:pPr>
        <w:pStyle w:val="Tekstas"/>
        <w:tabs>
          <w:tab w:val="left" w:pos="851"/>
        </w:tabs>
      </w:pPr>
      <w:r w:rsidRPr="001E7CC5">
        <w:t xml:space="preserve">1. </w:t>
      </w:r>
      <w:r w:rsidR="002B39BB" w:rsidRPr="001E7CC5">
        <w:t xml:space="preserve">Leisti </w:t>
      </w:r>
      <w:r w:rsidR="00A24082" w:rsidRPr="001E7CC5">
        <w:t xml:space="preserve">uždarajai akcinei bendrovei </w:t>
      </w:r>
      <w:r w:rsidR="002B39BB" w:rsidRPr="001E7CC5">
        <w:t>„</w:t>
      </w:r>
      <w:proofErr w:type="spellStart"/>
      <w:r w:rsidR="002B39BB" w:rsidRPr="001E7CC5">
        <w:t>Orion</w:t>
      </w:r>
      <w:proofErr w:type="spellEnd"/>
      <w:r w:rsidR="002B39BB" w:rsidRPr="001E7CC5">
        <w:t xml:space="preserve"> </w:t>
      </w:r>
      <w:proofErr w:type="spellStart"/>
      <w:r w:rsidR="002B39BB" w:rsidRPr="001E7CC5">
        <w:t>Asset</w:t>
      </w:r>
      <w:proofErr w:type="spellEnd"/>
      <w:r w:rsidR="002B39BB" w:rsidRPr="001E7CC5">
        <w:t xml:space="preserve"> </w:t>
      </w:r>
      <w:proofErr w:type="spellStart"/>
      <w:r w:rsidR="002B39BB" w:rsidRPr="001E7CC5">
        <w:t>Management</w:t>
      </w:r>
      <w:proofErr w:type="spellEnd"/>
      <w:r w:rsidR="002B39BB" w:rsidRPr="001E7CC5">
        <w:t xml:space="preserve">“ iki 35 procentų </w:t>
      </w:r>
      <w:r w:rsidR="00A24082" w:rsidRPr="001E7CC5">
        <w:t xml:space="preserve">jos valdomos </w:t>
      </w:r>
      <w:r w:rsidR="002B39BB" w:rsidRPr="001E7CC5">
        <w:t xml:space="preserve">investicinės kintamojo kapitalo bendrovės </w:t>
      </w:r>
      <w:r w:rsidR="005C6F6C" w:rsidRPr="001E7CC5">
        <w:t xml:space="preserve">„OMX BALTIC BENCHMARK FUND“ </w:t>
      </w:r>
      <w:r w:rsidR="002B39BB" w:rsidRPr="001E7CC5">
        <w:t xml:space="preserve">turtą </w:t>
      </w:r>
      <w:r w:rsidR="005C6F6C" w:rsidRPr="001E7CC5">
        <w:t xml:space="preserve">sudarančių grynųjų aktyvų vertės </w:t>
      </w:r>
      <w:r w:rsidR="002B39BB" w:rsidRPr="001E7CC5">
        <w:t xml:space="preserve">investuoti į vieno emitento </w:t>
      </w:r>
      <w:r w:rsidR="002B39BB" w:rsidRPr="001E7CC5">
        <w:rPr>
          <w:i/>
          <w:iCs/>
        </w:rPr>
        <w:t xml:space="preserve">AS LHV </w:t>
      </w:r>
      <w:proofErr w:type="spellStart"/>
      <w:r w:rsidR="002B39BB" w:rsidRPr="001E7CC5">
        <w:rPr>
          <w:i/>
          <w:iCs/>
        </w:rPr>
        <w:t>Group</w:t>
      </w:r>
      <w:proofErr w:type="spellEnd"/>
      <w:r w:rsidR="002B39BB" w:rsidRPr="001E7CC5">
        <w:t xml:space="preserve"> vertybinius popierius. </w:t>
      </w:r>
    </w:p>
    <w:p w14:paraId="43812DAC" w14:textId="73EBD0BE" w:rsidR="002E6DAE" w:rsidRPr="001E7CC5" w:rsidRDefault="001E7CC5" w:rsidP="001E7CC5">
      <w:pPr>
        <w:pStyle w:val="Tekstas"/>
        <w:tabs>
          <w:tab w:val="left" w:pos="851"/>
        </w:tabs>
      </w:pPr>
      <w:r w:rsidRPr="001E7CC5">
        <w:t>2. P</w:t>
      </w:r>
      <w:r w:rsidRPr="001E7CC5">
        <w:t>ripažinti netekusiu galios</w:t>
      </w:r>
      <w:r w:rsidRPr="001E7CC5">
        <w:t xml:space="preserve"> </w:t>
      </w:r>
      <w:r w:rsidR="002B39BB" w:rsidRPr="001E7CC5">
        <w:t>Lietuvos banko Priežiūros tarnybos direktoriaus 2013 m. gegužės 24 d. sprendimą Nr.</w:t>
      </w:r>
      <w:r w:rsidRPr="001E7CC5">
        <w:t> </w:t>
      </w:r>
      <w:r w:rsidR="002B39BB" w:rsidRPr="001E7CC5">
        <w:t xml:space="preserve">241-105 „Dėl leidimo investuoti iki 35 procentų investicinės kintamojo kapitalo bendrovės </w:t>
      </w:r>
      <w:bookmarkStart w:id="1" w:name="_Hlk82603408"/>
      <w:r w:rsidR="002B39BB" w:rsidRPr="001E7CC5">
        <w:t>„OMX BALTIC BENCHMARK FUND“</w:t>
      </w:r>
      <w:bookmarkEnd w:id="1"/>
      <w:r w:rsidR="002B39BB" w:rsidRPr="001E7CC5">
        <w:t xml:space="preserve"> grynųjų aktyvų vertės į vieno emitento išleistus perleidžiamuosius vertybinius popierius“.</w:t>
      </w:r>
      <w:r w:rsidR="005C6F6C" w:rsidRPr="001E7CC5">
        <w:t xml:space="preserve"> </w:t>
      </w:r>
    </w:p>
    <w:p w14:paraId="4DC20AB5" w14:textId="3C9EBBAB" w:rsidR="00450147" w:rsidRPr="001E7CC5" w:rsidRDefault="00450147" w:rsidP="008C4320">
      <w:pPr>
        <w:pStyle w:val="Tekstas"/>
        <w:ind w:firstLine="0"/>
        <w:jc w:val="left"/>
      </w:pPr>
    </w:p>
    <w:p w14:paraId="4C1DAB72" w14:textId="77777777" w:rsidR="004265E9" w:rsidRPr="001E7CC5" w:rsidRDefault="004265E9" w:rsidP="004265E9">
      <w:pPr>
        <w:pStyle w:val="Tekstas"/>
        <w:ind w:firstLine="0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4265E9" w:rsidRPr="001E7CC5" w14:paraId="5C58F2BA" w14:textId="77777777" w:rsidTr="005D6549">
        <w:tc>
          <w:tcPr>
            <w:tcW w:w="5529" w:type="dxa"/>
          </w:tcPr>
          <w:p w14:paraId="29471958" w14:textId="77777777" w:rsidR="004265E9" w:rsidRPr="001E7CC5" w:rsidRDefault="004265E9" w:rsidP="005D6549">
            <w:pPr>
              <w:widowControl/>
              <w:autoSpaceDE/>
              <w:autoSpaceDN/>
              <w:adjustRightInd/>
              <w:rPr>
                <w:lang w:val="lt-LT"/>
              </w:rPr>
            </w:pPr>
            <w:r w:rsidRPr="001E7CC5">
              <w:rPr>
                <w:lang w:val="lt-LT"/>
              </w:rPr>
              <w:t>Direktorė</w:t>
            </w:r>
          </w:p>
        </w:tc>
        <w:tc>
          <w:tcPr>
            <w:tcW w:w="3969" w:type="dxa"/>
          </w:tcPr>
          <w:p w14:paraId="27A41226" w14:textId="77777777" w:rsidR="004265E9" w:rsidRPr="001E7CC5" w:rsidRDefault="004265E9" w:rsidP="005D6549">
            <w:pPr>
              <w:keepNext/>
              <w:jc w:val="right"/>
              <w:outlineLvl w:val="2"/>
              <w:rPr>
                <w:lang w:val="lt-LT"/>
              </w:rPr>
            </w:pPr>
            <w:r w:rsidRPr="001E7CC5">
              <w:rPr>
                <w:lang w:val="lt-LT"/>
              </w:rPr>
              <w:t>Jekaterina Govina</w:t>
            </w:r>
          </w:p>
        </w:tc>
      </w:tr>
    </w:tbl>
    <w:p w14:paraId="5B64A8E1" w14:textId="77777777" w:rsidR="004265E9" w:rsidRPr="001E7CC5" w:rsidRDefault="004265E9" w:rsidP="004265E9">
      <w:pPr>
        <w:pStyle w:val="parasas"/>
        <w:ind w:left="0"/>
        <w:rPr>
          <w:lang w:val="lt-LT"/>
        </w:rPr>
      </w:pPr>
    </w:p>
    <w:p w14:paraId="670958B1" w14:textId="77777777" w:rsidR="004265E9" w:rsidRPr="001E7CC5" w:rsidRDefault="004265E9" w:rsidP="008C4320">
      <w:pPr>
        <w:pStyle w:val="Tekstas"/>
        <w:ind w:firstLine="0"/>
        <w:jc w:val="left"/>
      </w:pPr>
    </w:p>
    <w:p w14:paraId="38B405DB" w14:textId="77777777" w:rsidR="001E7CC5" w:rsidRPr="001E7CC5" w:rsidRDefault="001E7CC5">
      <w:pPr>
        <w:pStyle w:val="Tekstas"/>
        <w:ind w:firstLine="0"/>
        <w:jc w:val="left"/>
      </w:pPr>
    </w:p>
    <w:sectPr w:rsidR="001E7CC5" w:rsidRPr="001E7CC5" w:rsidSect="00FA0483">
      <w:headerReference w:type="default" r:id="rId9"/>
      <w:pgSz w:w="11907" w:h="16840" w:code="9"/>
      <w:pgMar w:top="1134" w:right="680" w:bottom="1134" w:left="1701" w:header="697" w:footer="833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DE66" w14:textId="77777777" w:rsidR="00E134EE" w:rsidRDefault="00E134EE">
      <w:r>
        <w:separator/>
      </w:r>
    </w:p>
  </w:endnote>
  <w:endnote w:type="continuationSeparator" w:id="0">
    <w:p w14:paraId="48C6EE3A" w14:textId="77777777" w:rsidR="00E134EE" w:rsidRDefault="00E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CA1E" w14:textId="77777777" w:rsidR="00E134EE" w:rsidRDefault="00E134EE">
      <w:r>
        <w:separator/>
      </w:r>
    </w:p>
  </w:footnote>
  <w:footnote w:type="continuationSeparator" w:id="0">
    <w:p w14:paraId="025FBEAB" w14:textId="77777777" w:rsidR="00E134EE" w:rsidRDefault="00E1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360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8301FA" w14:textId="77777777" w:rsidR="00A546B0" w:rsidRDefault="00A546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FA950" w14:textId="77777777" w:rsidR="00A546B0" w:rsidRDefault="00A5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0543"/>
    <w:multiLevelType w:val="multilevel"/>
    <w:tmpl w:val="0CA4684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1AF0F59"/>
    <w:multiLevelType w:val="multilevel"/>
    <w:tmpl w:val="12A255F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56F53FD5"/>
    <w:multiLevelType w:val="hybridMultilevel"/>
    <w:tmpl w:val="654CA032"/>
    <w:lvl w:ilvl="0" w:tplc="27CC2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475BC2"/>
    <w:multiLevelType w:val="multilevel"/>
    <w:tmpl w:val="10EEF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396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2E"/>
    <w:rsid w:val="00033A22"/>
    <w:rsid w:val="00042EB0"/>
    <w:rsid w:val="000467A8"/>
    <w:rsid w:val="00052334"/>
    <w:rsid w:val="00060390"/>
    <w:rsid w:val="00066BA7"/>
    <w:rsid w:val="00075FB7"/>
    <w:rsid w:val="000A5CFE"/>
    <w:rsid w:val="000B0D7F"/>
    <w:rsid w:val="000B10A9"/>
    <w:rsid w:val="000C3FEC"/>
    <w:rsid w:val="000C6D29"/>
    <w:rsid w:val="000C75A2"/>
    <w:rsid w:val="000D012C"/>
    <w:rsid w:val="000D7173"/>
    <w:rsid w:val="000E20BA"/>
    <w:rsid w:val="000E2C7C"/>
    <w:rsid w:val="00112DEE"/>
    <w:rsid w:val="001175E7"/>
    <w:rsid w:val="00121838"/>
    <w:rsid w:val="0012374B"/>
    <w:rsid w:val="00124DC2"/>
    <w:rsid w:val="001258E8"/>
    <w:rsid w:val="001418F3"/>
    <w:rsid w:val="00142569"/>
    <w:rsid w:val="00156932"/>
    <w:rsid w:val="001733C4"/>
    <w:rsid w:val="001868FC"/>
    <w:rsid w:val="001D54D1"/>
    <w:rsid w:val="001E0893"/>
    <w:rsid w:val="001E7CC5"/>
    <w:rsid w:val="001F08A6"/>
    <w:rsid w:val="001F72E2"/>
    <w:rsid w:val="002174A0"/>
    <w:rsid w:val="0024487D"/>
    <w:rsid w:val="002538F4"/>
    <w:rsid w:val="00275ED9"/>
    <w:rsid w:val="00285352"/>
    <w:rsid w:val="00287E7C"/>
    <w:rsid w:val="002B39BB"/>
    <w:rsid w:val="002B3C1E"/>
    <w:rsid w:val="002C1199"/>
    <w:rsid w:val="002E6DAE"/>
    <w:rsid w:val="002F301E"/>
    <w:rsid w:val="002F5843"/>
    <w:rsid w:val="002F68DC"/>
    <w:rsid w:val="002F6D5A"/>
    <w:rsid w:val="00312BAF"/>
    <w:rsid w:val="003151D5"/>
    <w:rsid w:val="0036239D"/>
    <w:rsid w:val="00370A62"/>
    <w:rsid w:val="00381513"/>
    <w:rsid w:val="00387FAF"/>
    <w:rsid w:val="003A7010"/>
    <w:rsid w:val="003A7908"/>
    <w:rsid w:val="003D192E"/>
    <w:rsid w:val="003D3451"/>
    <w:rsid w:val="003D5453"/>
    <w:rsid w:val="003E4ADB"/>
    <w:rsid w:val="00405965"/>
    <w:rsid w:val="004147D3"/>
    <w:rsid w:val="00415A76"/>
    <w:rsid w:val="004239EA"/>
    <w:rsid w:val="004265E9"/>
    <w:rsid w:val="0043684D"/>
    <w:rsid w:val="004432CC"/>
    <w:rsid w:val="00450147"/>
    <w:rsid w:val="00484B4C"/>
    <w:rsid w:val="0048661A"/>
    <w:rsid w:val="0048702A"/>
    <w:rsid w:val="00497A7D"/>
    <w:rsid w:val="004A7361"/>
    <w:rsid w:val="004B4C28"/>
    <w:rsid w:val="004C13AA"/>
    <w:rsid w:val="004C52BB"/>
    <w:rsid w:val="004D01DC"/>
    <w:rsid w:val="004E4E6F"/>
    <w:rsid w:val="005264C6"/>
    <w:rsid w:val="0053358B"/>
    <w:rsid w:val="00566A1D"/>
    <w:rsid w:val="00574DFD"/>
    <w:rsid w:val="00577920"/>
    <w:rsid w:val="005979E3"/>
    <w:rsid w:val="005B09A6"/>
    <w:rsid w:val="005C6F6C"/>
    <w:rsid w:val="005D5D6F"/>
    <w:rsid w:val="005E05A5"/>
    <w:rsid w:val="00615CCB"/>
    <w:rsid w:val="006217D4"/>
    <w:rsid w:val="00631B73"/>
    <w:rsid w:val="00634BB3"/>
    <w:rsid w:val="006361CA"/>
    <w:rsid w:val="0064027D"/>
    <w:rsid w:val="00647575"/>
    <w:rsid w:val="00655E0C"/>
    <w:rsid w:val="00663973"/>
    <w:rsid w:val="00664DD1"/>
    <w:rsid w:val="006661BB"/>
    <w:rsid w:val="006B23FF"/>
    <w:rsid w:val="006C442E"/>
    <w:rsid w:val="006E416D"/>
    <w:rsid w:val="006F3C0B"/>
    <w:rsid w:val="006F4216"/>
    <w:rsid w:val="006F7465"/>
    <w:rsid w:val="00711A13"/>
    <w:rsid w:val="00747BFF"/>
    <w:rsid w:val="0075695F"/>
    <w:rsid w:val="00765C09"/>
    <w:rsid w:val="0077375A"/>
    <w:rsid w:val="00787FB6"/>
    <w:rsid w:val="007B5271"/>
    <w:rsid w:val="007B727D"/>
    <w:rsid w:val="007D765E"/>
    <w:rsid w:val="007F1391"/>
    <w:rsid w:val="007F3479"/>
    <w:rsid w:val="007F35AF"/>
    <w:rsid w:val="00802A2A"/>
    <w:rsid w:val="008140EB"/>
    <w:rsid w:val="00833095"/>
    <w:rsid w:val="00833202"/>
    <w:rsid w:val="00842D5F"/>
    <w:rsid w:val="0085529D"/>
    <w:rsid w:val="00857ADB"/>
    <w:rsid w:val="00873FD5"/>
    <w:rsid w:val="00874A39"/>
    <w:rsid w:val="00892EB4"/>
    <w:rsid w:val="008951E3"/>
    <w:rsid w:val="008A0508"/>
    <w:rsid w:val="008A1B89"/>
    <w:rsid w:val="008C1C12"/>
    <w:rsid w:val="008C4320"/>
    <w:rsid w:val="008D2076"/>
    <w:rsid w:val="008D7FC0"/>
    <w:rsid w:val="00910586"/>
    <w:rsid w:val="009175D8"/>
    <w:rsid w:val="0092605A"/>
    <w:rsid w:val="00927753"/>
    <w:rsid w:val="00962CB5"/>
    <w:rsid w:val="0096732C"/>
    <w:rsid w:val="00983266"/>
    <w:rsid w:val="00986AB1"/>
    <w:rsid w:val="00990FF1"/>
    <w:rsid w:val="009C27D1"/>
    <w:rsid w:val="009C7816"/>
    <w:rsid w:val="009D648C"/>
    <w:rsid w:val="009E64F7"/>
    <w:rsid w:val="009F3398"/>
    <w:rsid w:val="00A24082"/>
    <w:rsid w:val="00A546B0"/>
    <w:rsid w:val="00A6126B"/>
    <w:rsid w:val="00A66205"/>
    <w:rsid w:val="00AA2F87"/>
    <w:rsid w:val="00AA3F67"/>
    <w:rsid w:val="00AA5FE7"/>
    <w:rsid w:val="00AB4B2D"/>
    <w:rsid w:val="00AB6DC2"/>
    <w:rsid w:val="00AD1A7E"/>
    <w:rsid w:val="00AD2878"/>
    <w:rsid w:val="00AD2F21"/>
    <w:rsid w:val="00B030EB"/>
    <w:rsid w:val="00B121B5"/>
    <w:rsid w:val="00B13758"/>
    <w:rsid w:val="00B32F50"/>
    <w:rsid w:val="00B738EF"/>
    <w:rsid w:val="00BC0A72"/>
    <w:rsid w:val="00BC16EF"/>
    <w:rsid w:val="00BD17C4"/>
    <w:rsid w:val="00BD37EE"/>
    <w:rsid w:val="00BE0A8F"/>
    <w:rsid w:val="00BF25C2"/>
    <w:rsid w:val="00C3063B"/>
    <w:rsid w:val="00C30FE5"/>
    <w:rsid w:val="00C64319"/>
    <w:rsid w:val="00C7300F"/>
    <w:rsid w:val="00C85A28"/>
    <w:rsid w:val="00CA2EBE"/>
    <w:rsid w:val="00CA687D"/>
    <w:rsid w:val="00CB5D35"/>
    <w:rsid w:val="00CC60B5"/>
    <w:rsid w:val="00CC7837"/>
    <w:rsid w:val="00CD46A1"/>
    <w:rsid w:val="00D034E0"/>
    <w:rsid w:val="00D14D17"/>
    <w:rsid w:val="00D242DF"/>
    <w:rsid w:val="00D26DB7"/>
    <w:rsid w:val="00D272F8"/>
    <w:rsid w:val="00D304CD"/>
    <w:rsid w:val="00D33E93"/>
    <w:rsid w:val="00D36CA7"/>
    <w:rsid w:val="00D5567F"/>
    <w:rsid w:val="00D60F19"/>
    <w:rsid w:val="00D65C7E"/>
    <w:rsid w:val="00D84D3C"/>
    <w:rsid w:val="00D9603F"/>
    <w:rsid w:val="00D96D3E"/>
    <w:rsid w:val="00DB20AD"/>
    <w:rsid w:val="00DB7675"/>
    <w:rsid w:val="00DC0D44"/>
    <w:rsid w:val="00DD3D87"/>
    <w:rsid w:val="00DD6DCB"/>
    <w:rsid w:val="00DE7CD8"/>
    <w:rsid w:val="00E02F4B"/>
    <w:rsid w:val="00E134EE"/>
    <w:rsid w:val="00E14D2B"/>
    <w:rsid w:val="00E3579F"/>
    <w:rsid w:val="00E35BB8"/>
    <w:rsid w:val="00E35D40"/>
    <w:rsid w:val="00E47998"/>
    <w:rsid w:val="00E65159"/>
    <w:rsid w:val="00E80DCA"/>
    <w:rsid w:val="00EC688B"/>
    <w:rsid w:val="00EC73AE"/>
    <w:rsid w:val="00EE01E2"/>
    <w:rsid w:val="00F077F1"/>
    <w:rsid w:val="00F3451E"/>
    <w:rsid w:val="00F5376E"/>
    <w:rsid w:val="00F703AF"/>
    <w:rsid w:val="00F7768C"/>
    <w:rsid w:val="00F90871"/>
    <w:rsid w:val="00F947B4"/>
    <w:rsid w:val="00FA0483"/>
    <w:rsid w:val="00FA14D2"/>
    <w:rsid w:val="00FA7666"/>
    <w:rsid w:val="00FB606C"/>
    <w:rsid w:val="00FC2C18"/>
    <w:rsid w:val="00FC2FD2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F4944"/>
  <w15:docId w15:val="{B6D2DCC7-D9A9-462C-B6F8-4753A15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traštė"/>
    <w:qFormat/>
    <w:rsid w:val="00566A1D"/>
    <w:pPr>
      <w:widowControl w:val="0"/>
      <w:autoSpaceDE w:val="0"/>
      <w:autoSpaceDN w:val="0"/>
      <w:adjustRightInd w:val="0"/>
    </w:pPr>
    <w:rPr>
      <w:rFonts w:ascii="Verdana" w:hAnsi="Verdana"/>
      <w:lang w:val="en-US" w:eastAsia="en-US"/>
    </w:rPr>
  </w:style>
  <w:style w:type="paragraph" w:styleId="Heading1">
    <w:name w:val="heading 1"/>
    <w:aliases w:val="LB"/>
    <w:basedOn w:val="Normal"/>
    <w:next w:val="Normal"/>
    <w:link w:val="Heading1Char"/>
    <w:qFormat/>
    <w:rsid w:val="000E2C7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LT" w:hAnsi="TimesLT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2"/>
    </w:rPr>
  </w:style>
  <w:style w:type="paragraph" w:styleId="BodyText">
    <w:name w:val="Body Text"/>
    <w:basedOn w:val="Normal"/>
    <w:semiHidden/>
    <w:pPr>
      <w:ind w:right="-108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umparagrafai2">
    <w:name w:val="Num. paragrafai 2"/>
    <w:basedOn w:val="Normal"/>
    <w:autoRedefine/>
    <w:pPr>
      <w:spacing w:before="20"/>
      <w:ind w:firstLine="720"/>
      <w:jc w:val="both"/>
    </w:pPr>
    <w:rPr>
      <w:bCs/>
      <w:snapToGrid w:val="0"/>
    </w:rPr>
  </w:style>
  <w:style w:type="paragraph" w:customStyle="1" w:styleId="Normall">
    <w:name w:val="Normal_l"/>
    <w:basedOn w:val="Normal"/>
    <w:pPr>
      <w:overflowPunct w:val="0"/>
      <w:textAlignment w:val="baseline"/>
    </w:pPr>
    <w:rPr>
      <w:rFonts w:ascii="TimesLT" w:hAnsi="TimesLT"/>
      <w:lang w:val="en-GB"/>
    </w:rPr>
  </w:style>
  <w:style w:type="paragraph" w:styleId="BodyText2">
    <w:name w:val="Body Text 2"/>
    <w:basedOn w:val="Normal"/>
    <w:semiHidden/>
    <w:pPr>
      <w:tabs>
        <w:tab w:val="left" w:pos="567"/>
        <w:tab w:val="left" w:pos="6804"/>
      </w:tabs>
      <w:jc w:val="center"/>
    </w:pPr>
    <w:rPr>
      <w:rFonts w:ascii="TimesLT" w:hAnsi="TimesLT"/>
    </w:rPr>
  </w:style>
  <w:style w:type="paragraph" w:styleId="BodyTextIndent2">
    <w:name w:val="Body Text Indent 2"/>
    <w:basedOn w:val="Normal"/>
    <w:semiHidden/>
    <w:pPr>
      <w:ind w:firstLine="720"/>
    </w:pPr>
    <w:rPr>
      <w:rFonts w:ascii="TimesLT" w:hAnsi="TimesLT"/>
    </w:rPr>
  </w:style>
  <w:style w:type="character" w:customStyle="1" w:styleId="BodyTextIndentChar">
    <w:name w:val="Body Text Indent Char"/>
    <w:link w:val="BodyTextIndent"/>
    <w:semiHidden/>
    <w:rsid w:val="00EC73AE"/>
    <w:rPr>
      <w:sz w:val="22"/>
      <w:lang w:val="lt-LT" w:eastAsia="en-US"/>
    </w:rPr>
  </w:style>
  <w:style w:type="character" w:customStyle="1" w:styleId="Heading1Char">
    <w:name w:val="Heading 1 Char"/>
    <w:aliases w:val="LB Char"/>
    <w:basedOn w:val="DefaultParagraphFont"/>
    <w:link w:val="Heading1"/>
    <w:rsid w:val="000E2C7C"/>
    <w:rPr>
      <w:rFonts w:ascii="Verdana" w:hAnsi="Verdana"/>
      <w:b/>
      <w:sz w:val="24"/>
      <w:lang w:val="en-US" w:eastAsia="en-US"/>
    </w:rPr>
  </w:style>
  <w:style w:type="paragraph" w:customStyle="1" w:styleId="parasas">
    <w:name w:val="parasas"/>
    <w:basedOn w:val="Normal"/>
    <w:link w:val="parasasChar"/>
    <w:qFormat/>
    <w:rsid w:val="000E2C7C"/>
    <w:pPr>
      <w:widowControl/>
      <w:autoSpaceDE/>
      <w:autoSpaceDN/>
      <w:adjustRightInd/>
      <w:ind w:left="567"/>
    </w:pPr>
    <w:rPr>
      <w:lang w:val="de-DE"/>
    </w:rPr>
  </w:style>
  <w:style w:type="character" w:customStyle="1" w:styleId="parasasChar">
    <w:name w:val="parasas Char"/>
    <w:basedOn w:val="DefaultParagraphFont"/>
    <w:link w:val="parasas"/>
    <w:rsid w:val="000E2C7C"/>
    <w:rPr>
      <w:rFonts w:ascii="Verdana" w:hAnsi="Verdana"/>
      <w:lang w:val="de-DE" w:eastAsia="en-US"/>
    </w:rPr>
  </w:style>
  <w:style w:type="paragraph" w:customStyle="1" w:styleId="Tekstas">
    <w:name w:val="Tekstas"/>
    <w:basedOn w:val="Normal"/>
    <w:link w:val="TekstasChar"/>
    <w:qFormat/>
    <w:rsid w:val="00566A1D"/>
    <w:pPr>
      <w:ind w:firstLine="567"/>
      <w:jc w:val="both"/>
    </w:pPr>
    <w:rPr>
      <w:lang w:val="lt-LT"/>
    </w:rPr>
  </w:style>
  <w:style w:type="character" w:customStyle="1" w:styleId="TekstasChar">
    <w:name w:val="Tekstas Char"/>
    <w:basedOn w:val="DefaultParagraphFont"/>
    <w:link w:val="Tekstas"/>
    <w:rsid w:val="00566A1D"/>
    <w:rPr>
      <w:rFonts w:ascii="Verdana" w:hAnsi="Verdana"/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0483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6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4E6F"/>
    <w:rPr>
      <w:rFonts w:ascii="Verdana" w:hAnsi="Verdana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6F"/>
    <w:rPr>
      <w:rFonts w:ascii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astine\&#302;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6D6C-38FB-4FE8-B938-8D071D6B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Įsakymas.dot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ARCHYVŲ DEPARTAMENTAS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Jurate Sereikiene</dc:creator>
  <cp:lastModifiedBy>Violeta Bausienė</cp:lastModifiedBy>
  <cp:revision>2</cp:revision>
  <cp:lastPrinted>2014-03-31T11:59:00Z</cp:lastPrinted>
  <dcterms:created xsi:type="dcterms:W3CDTF">2021-09-17T11:12:00Z</dcterms:created>
  <dcterms:modified xsi:type="dcterms:W3CDTF">2021-09-17T11:12:00Z</dcterms:modified>
</cp:coreProperties>
</file>